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footerReference r:id="rId3" w:type="default"/>
          <w:type w:val="continuous"/>
          <w:pgSz w:w="11906" w:h="16838"/>
          <w:pgMar w:top="1134" w:right="1134" w:bottom="1134" w:left="1134" w:header="851" w:footer="567" w:gutter="0"/>
          <w:cols w:space="720" w:num="1"/>
          <w:docGrid w:type="lines" w:linePitch="312" w:charSpace="0"/>
        </w:sectPr>
      </w:pPr>
    </w:p>
    <w:p>
      <w:pPr>
        <w:jc w:val="center"/>
        <w:rPr>
          <w:b/>
          <w:sz w:val="30"/>
          <w:szCs w:val="30"/>
        </w:rPr>
      </w:pPr>
      <w:r>
        <w:rPr>
          <w:rFonts w:hint="eastAsia"/>
          <w:b/>
          <w:sz w:val="30"/>
          <w:szCs w:val="30"/>
        </w:rPr>
        <w:t>梅州农业学校  梅州市理工学校</w:t>
      </w:r>
    </w:p>
    <w:p>
      <w:pPr>
        <w:jc w:val="center"/>
        <w:rPr>
          <w:b/>
          <w:sz w:val="30"/>
          <w:szCs w:val="30"/>
        </w:rPr>
      </w:pPr>
      <w:r>
        <w:rPr>
          <w:rFonts w:hint="eastAsia"/>
          <w:b/>
          <w:sz w:val="30"/>
          <w:szCs w:val="30"/>
        </w:rPr>
        <w:t>2023</w:t>
      </w:r>
      <w:r>
        <w:rPr>
          <w:b/>
          <w:sz w:val="30"/>
          <w:szCs w:val="30"/>
        </w:rPr>
        <w:t>级</w:t>
      </w:r>
      <w:r>
        <w:rPr>
          <w:rFonts w:hint="eastAsia"/>
          <w:b/>
          <w:sz w:val="30"/>
          <w:szCs w:val="30"/>
        </w:rPr>
        <w:t>畜禽生产技术专业人才培养方案</w:t>
      </w:r>
    </w:p>
    <w:p>
      <w:pPr>
        <w:spacing w:line="360" w:lineRule="auto"/>
        <w:jc w:val="left"/>
        <w:rPr>
          <w:rFonts w:asciiTheme="minorEastAsia" w:hAnsiTheme="minorEastAsia" w:eastAsiaTheme="minorEastAsia"/>
          <w:b/>
          <w:sz w:val="24"/>
        </w:rPr>
      </w:pPr>
    </w:p>
    <w:p>
      <w:pPr>
        <w:pStyle w:val="2"/>
        <w:numPr>
          <w:ilvl w:val="0"/>
          <w:numId w:val="1"/>
        </w:numPr>
        <w:rPr>
          <w:rFonts w:hint="eastAsia"/>
          <w:b w:val="0"/>
          <w:bCs/>
          <w:lang w:val="en-US" w:eastAsia="zh-CN"/>
        </w:rPr>
      </w:pPr>
      <w:r>
        <w:rPr>
          <w:rFonts w:hint="eastAsia"/>
          <w:lang w:val="en-US" w:eastAsia="zh-CN"/>
        </w:rPr>
        <w:t>专业名称及代码</w:t>
      </w:r>
      <w:r>
        <w:rPr>
          <w:rFonts w:hint="eastAsia"/>
          <w:lang w:val="en-US" w:eastAsia="zh-CN"/>
        </w:rPr>
        <w:br w:type="textWrapping"/>
      </w:r>
      <w:r>
        <w:rPr>
          <w:rFonts w:hint="eastAsia"/>
          <w:lang w:val="en-US" w:eastAsia="zh-CN"/>
        </w:rPr>
        <w:t>（一）专业名称：</w:t>
      </w:r>
      <w:r>
        <w:rPr>
          <w:rFonts w:hint="eastAsia" w:cs="Times New Roman" w:asciiTheme="minorEastAsia" w:hAnsiTheme="minorEastAsia" w:eastAsiaTheme="minorEastAsia"/>
          <w:b w:val="0"/>
          <w:color w:val="000000"/>
          <w:kern w:val="2"/>
          <w:sz w:val="24"/>
          <w:szCs w:val="24"/>
          <w:lang w:val="en-US" w:eastAsia="zh-CN" w:bidi="ar-SA"/>
        </w:rPr>
        <w:t>畜禽生产技术</w:t>
      </w:r>
      <w:r>
        <w:rPr>
          <w:rFonts w:hint="eastAsia"/>
          <w:b w:val="0"/>
          <w:bCs/>
          <w:lang w:val="en-US" w:eastAsia="zh-CN"/>
        </w:rPr>
        <w:br w:type="textWrapping"/>
      </w:r>
      <w:r>
        <w:rPr>
          <w:rFonts w:hint="eastAsia"/>
          <w:lang w:val="en-US" w:eastAsia="zh-CN"/>
        </w:rPr>
        <w:t>（二）专业代码：</w:t>
      </w:r>
      <w:r>
        <w:rPr>
          <w:rFonts w:hint="eastAsia" w:ascii="宋体" w:hAnsi="宋体" w:eastAsia="宋体" w:cs="宋体"/>
          <w:b w:val="0"/>
          <w:bCs/>
          <w:lang w:val="en-US" w:eastAsia="zh-CN"/>
        </w:rPr>
        <w:t>610301</w:t>
      </w:r>
    </w:p>
    <w:p>
      <w:pPr>
        <w:spacing w:line="360" w:lineRule="auto"/>
        <w:ind w:left="562" w:hanging="562" w:hangingChars="200"/>
        <w:jc w:val="left"/>
        <w:rPr>
          <w:rFonts w:hint="eastAsia" w:asciiTheme="minorEastAsia" w:hAnsiTheme="minorEastAsia" w:eastAsiaTheme="minorEastAsia"/>
          <w:color w:val="000000"/>
          <w:sz w:val="24"/>
        </w:rPr>
      </w:pPr>
      <w:r>
        <w:rPr>
          <w:rFonts w:hint="eastAsia" w:cs="Times New Roman"/>
          <w:b/>
          <w:kern w:val="44"/>
          <w:sz w:val="28"/>
          <w:szCs w:val="24"/>
          <w:lang w:val="en-US" w:eastAsia="zh-CN" w:bidi="ar-SA"/>
        </w:rPr>
        <w:t>二、</w:t>
      </w:r>
      <w:r>
        <w:rPr>
          <w:rFonts w:hint="eastAsia" w:ascii="Times New Roman" w:hAnsi="Times New Roman" w:eastAsia="宋体" w:cs="Times New Roman"/>
          <w:b/>
          <w:kern w:val="44"/>
          <w:sz w:val="28"/>
          <w:szCs w:val="24"/>
          <w:lang w:val="en-US" w:eastAsia="zh-CN" w:bidi="ar-SA"/>
        </w:rPr>
        <w:t>入学要求</w:t>
      </w:r>
      <w:r>
        <w:rPr>
          <w:rFonts w:hint="eastAsia" w:ascii="Times New Roman" w:hAnsi="Times New Roman" w:eastAsia="宋体" w:cs="Times New Roman"/>
          <w:b/>
          <w:kern w:val="44"/>
          <w:sz w:val="28"/>
          <w:szCs w:val="24"/>
          <w:lang w:val="en-US" w:eastAsia="zh-CN" w:bidi="ar-SA"/>
        </w:rPr>
        <w:br w:type="textWrapping"/>
      </w:r>
      <w:r>
        <w:rPr>
          <w:rFonts w:hint="eastAsia" w:asciiTheme="minorEastAsia" w:hAnsiTheme="minorEastAsia" w:eastAsiaTheme="minorEastAsia"/>
          <w:color w:val="000000"/>
          <w:sz w:val="24"/>
        </w:rPr>
        <w:t>初中毕业生或具有同等学力者。</w:t>
      </w:r>
    </w:p>
    <w:p>
      <w:pPr>
        <w:spacing w:line="360" w:lineRule="auto"/>
        <w:ind w:left="562" w:hanging="562" w:hangingChars="200"/>
        <w:jc w:val="left"/>
        <w:rPr>
          <w:rFonts w:hint="eastAsia" w:cs="Times New Roman"/>
          <w:b/>
          <w:kern w:val="44"/>
          <w:sz w:val="28"/>
          <w:szCs w:val="24"/>
          <w:lang w:val="en-US" w:eastAsia="zh-CN" w:bidi="ar-SA"/>
        </w:rPr>
      </w:pPr>
      <w:r>
        <w:rPr>
          <w:rFonts w:hint="eastAsia" w:cs="Times New Roman"/>
          <w:b/>
          <w:kern w:val="44"/>
          <w:sz w:val="28"/>
          <w:szCs w:val="24"/>
          <w:lang w:val="en-US" w:eastAsia="zh-CN" w:bidi="ar-SA"/>
        </w:rPr>
        <w:t>三、修业年限</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学制3年</w:t>
      </w:r>
      <w:bookmarkStart w:id="0" w:name="_GoBack"/>
      <w:bookmarkEnd w:id="0"/>
      <w:r>
        <w:rPr>
          <w:rFonts w:hint="eastAsia" w:asciiTheme="minorEastAsia" w:hAnsiTheme="minorEastAsia" w:eastAsiaTheme="minorEastAsia"/>
          <w:color w:val="000000"/>
          <w:sz w:val="24"/>
        </w:rPr>
        <w:t>。</w:t>
      </w:r>
    </w:p>
    <w:p>
      <w:pPr>
        <w:pStyle w:val="3"/>
      </w:pPr>
      <w:r>
        <w:rPr>
          <w:rFonts w:hint="eastAsia"/>
          <w:lang w:val="en-US" w:eastAsia="zh-CN"/>
        </w:rPr>
        <w:t>四、</w:t>
      </w:r>
      <w:r>
        <w:rPr>
          <w:rFonts w:hint="eastAsia"/>
        </w:rPr>
        <w:t>培养目标</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本专业培养德智体美劳全面发展，掌握扎实的科学文化基础和</w:t>
      </w:r>
      <w:r>
        <w:rPr>
          <w:rFonts w:hint="eastAsia" w:asciiTheme="minorEastAsia" w:hAnsiTheme="minorEastAsia" w:eastAsiaTheme="minorEastAsia"/>
          <w:sz w:val="24"/>
          <w:lang w:val="en-US" w:eastAsia="zh-CN"/>
        </w:rPr>
        <w:t>畜禽生产技术专业</w:t>
      </w:r>
      <w:r>
        <w:rPr>
          <w:rFonts w:hint="eastAsia" w:asciiTheme="minorEastAsia" w:hAnsiTheme="minorEastAsia" w:eastAsiaTheme="minorEastAsia"/>
          <w:sz w:val="24"/>
        </w:rPr>
        <w:t>知识，具有动物饲养、管理及疾病防控能力，具有工匠精神和信息素养，能够从事动物养殖、疾病防治、防疫检疫、实验室检验、饲料、兽药、动物产品的营销及售后服务等工作的技术技能人才。</w:t>
      </w:r>
    </w:p>
    <w:p>
      <w:pPr>
        <w:pStyle w:val="3"/>
        <w:numPr>
          <w:ilvl w:val="0"/>
          <w:numId w:val="2"/>
        </w:numPr>
        <w:rPr>
          <w:rFonts w:hint="eastAsia"/>
          <w:lang w:val="en-US" w:eastAsia="zh-CN"/>
        </w:rPr>
      </w:pPr>
      <w:r>
        <w:rPr>
          <w:rFonts w:hint="eastAsia"/>
          <w:lang w:val="en-US" w:eastAsia="zh-CN"/>
        </w:rPr>
        <w:t>培养规格</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具有动物常见疾病防疫、检疫、诊断和治疗的基本知识和能力；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能够对动物制定正确的诊断程序，并能根据病情做出初步诊断；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在上级兽医师的指导下，能够对畜禽病例进行诊断，开具处方，向动物主人或看护人员讲明动物的喂药要求和护理方法；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掌握动物卫生防疫的知识和技能，对已感染传染病或人畜共患病的动物，采取预防措施并及时上报疫情；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掌握动物疾病或人畜共患病致病因素，药物使用、治疗方法，动物检疫以及兽医公共卫生检验等基本技术；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掌握畜禽生产的基本知识及相关的法律法规，为就业和创业打下坚实的基础；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掌握畜禽生产技术现代化需要的动物疫病防治的基本理论、基本知识和基本技能，学会动物检疫、动物疫病防治和动物食品卫生检；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能够剖检动物尸体，并掌握采集、保存和送检病料的方法，并进行病理学检查；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能正确使用与保养各种实验仪器设备，配制常用的实验试剂；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能对病畜的血、粪、尿进行常规检查；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能够正确掌握疫苗的运输和保存方法，能正确使用各种疫苗进行免疫接种；</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具备较强的人际交往能力，熟悉饲料和兽药的品种、性质和用途，具有吃苦耐劳的精神。</w:t>
      </w:r>
    </w:p>
    <w:p>
      <w:pPr>
        <w:pStyle w:val="2"/>
        <w:spacing w:before="312"/>
      </w:pPr>
      <w:r>
        <w:rPr>
          <w:rFonts w:hint="eastAsia"/>
          <w:lang w:val="en-US" w:eastAsia="zh-CN"/>
        </w:rPr>
        <w:t>六</w:t>
      </w:r>
      <w:r>
        <w:rPr>
          <w:rFonts w:hint="eastAsia"/>
        </w:rPr>
        <w:t>、课程教学要求</w:t>
      </w:r>
    </w:p>
    <w:p>
      <w:pPr>
        <w:pStyle w:val="3"/>
      </w:pPr>
      <w:r>
        <w:rPr>
          <w:rFonts w:hint="eastAsia"/>
        </w:rPr>
        <w:t>（一）公共基础课</w:t>
      </w:r>
    </w:p>
    <w:p>
      <w:pPr>
        <w:pStyle w:val="4"/>
        <w:ind w:firstLine="482" w:firstLineChars="200"/>
      </w:pPr>
      <w:r>
        <w:rPr>
          <w:rFonts w:hint="eastAsia"/>
        </w:rPr>
        <w:t>1.思想政治</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（1）中国特色社会主义</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（2）心理健康与职业生涯</w:t>
      </w:r>
    </w:p>
    <w:p>
      <w:pPr>
        <w:spacing w:line="360" w:lineRule="auto"/>
        <w:ind w:firstLine="480" w:firstLineChars="200"/>
        <w:jc w:val="left"/>
        <w:rPr>
          <w:rFonts w:ascii="宋体" w:hAnsi="宋体"/>
          <w:color w:val="000000"/>
          <w:sz w:val="24"/>
        </w:rPr>
      </w:pPr>
      <w:r>
        <w:rPr>
          <w:rFonts w:hint="eastAsia" w:ascii="宋体" w:hAnsi="宋体"/>
          <w:color w:val="000000"/>
          <w:sz w:val="24"/>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（3）哲学与人生</w:t>
      </w:r>
    </w:p>
    <w:p>
      <w:pPr>
        <w:spacing w:line="360" w:lineRule="auto"/>
        <w:ind w:firstLine="480" w:firstLineChars="200"/>
        <w:jc w:val="left"/>
        <w:rPr>
          <w:rFonts w:ascii="宋体" w:hAnsi="宋体"/>
          <w:color w:val="000000"/>
          <w:sz w:val="24"/>
        </w:rPr>
      </w:pPr>
      <w:r>
        <w:rPr>
          <w:rFonts w:hint="eastAsia" w:ascii="宋体" w:hAnsi="宋体"/>
          <w:color w:val="000000"/>
          <w:sz w:val="24"/>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（4）职业道德与法治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2.语文</w:t>
      </w:r>
    </w:p>
    <w:p>
      <w:pPr>
        <w:spacing w:line="360" w:lineRule="auto"/>
        <w:ind w:firstLine="482" w:firstLineChars="200"/>
        <w:jc w:val="left"/>
        <w:rPr>
          <w:rFonts w:ascii="宋体" w:hAnsi="宋体"/>
          <w:color w:val="000000"/>
          <w:sz w:val="24"/>
        </w:rPr>
      </w:pPr>
      <w:r>
        <w:rPr>
          <w:rFonts w:hint="eastAsia" w:ascii="宋体" w:hAnsi="宋体"/>
          <w:b/>
          <w:bCs/>
          <w:color w:val="000000"/>
          <w:sz w:val="24"/>
        </w:rPr>
        <w:t>（1）中外文学作品选读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本课程旨在引导学生阅读诗歌、散文、小说、剧本等不同体裁的中外优秀文学作品，在感受形象、品味语言、体验情感的过程中，提高语言文化鉴别能力、文学欣赏能力和审美品位，提升人文素养。</w:t>
      </w:r>
    </w:p>
    <w:p>
      <w:pPr>
        <w:spacing w:line="360" w:lineRule="auto"/>
        <w:ind w:firstLine="482" w:firstLineChars="200"/>
        <w:jc w:val="left"/>
        <w:rPr>
          <w:rFonts w:ascii="宋体" w:hAnsi="宋体"/>
          <w:color w:val="000000"/>
          <w:sz w:val="24"/>
        </w:rPr>
      </w:pPr>
      <w:r>
        <w:rPr>
          <w:rFonts w:hint="eastAsia" w:ascii="宋体" w:hAnsi="宋体"/>
          <w:b/>
          <w:bCs/>
          <w:color w:val="000000"/>
          <w:sz w:val="24"/>
        </w:rPr>
        <w:t>（2）古代诗文选读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中华优秀传统文化中的经典古代诗文，体会中华文化的源远流长、博大精深，增进对中华文化思想理念、传统美德、人文精神的认识和理解，抵制文化虚无主义错误观点，提升对中华优秀传统文化的认同感、自豪感，增强文化自信，更好地传承和弘扬中华优秀传统文化。</w:t>
      </w:r>
    </w:p>
    <w:p>
      <w:pPr>
        <w:spacing w:line="360" w:lineRule="auto"/>
        <w:ind w:firstLine="482" w:firstLineChars="200"/>
        <w:jc w:val="left"/>
        <w:rPr>
          <w:rFonts w:ascii="宋体" w:hAnsi="宋体"/>
          <w:color w:val="000000"/>
          <w:sz w:val="24"/>
        </w:rPr>
      </w:pPr>
      <w:r>
        <w:rPr>
          <w:rFonts w:hint="eastAsia" w:ascii="宋体" w:hAnsi="宋体"/>
          <w:b/>
          <w:bCs/>
          <w:color w:val="000000"/>
          <w:sz w:val="24"/>
        </w:rPr>
        <w:t>（3）中国革命传统和社会主义先进文化作品选读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中国革命传统作品，深入学习革命志士以及广大群众为民族解放事业英勇奋斗、百折不挠的爱国精神和崇高品质；深入了解中国革命过程中涌现出的英雄人物和事迹，感受其大无畏的革命气概，体认中国共产党人的初心和使命；进一步提高语言运用能力、思维能力和审美鉴赏能力；坚定理想信念，陶冶情操，形成正确的世界观、人生观和价值观。引导学生阅读反映社会主义先进文化的作品，关注和参与当代文化生活，增强弘扬社会主义核心价值观的自觉性和为中华民族伟大复兴而奋斗的使命感，坚定文化自信；把握作品的思想性和艺术性，进一步提高阅读与欣赏、表达与交流，以及语文综合运用能力。</w:t>
      </w:r>
    </w:p>
    <w:p>
      <w:pPr>
        <w:spacing w:line="360" w:lineRule="auto"/>
        <w:ind w:firstLine="482" w:firstLineChars="200"/>
        <w:jc w:val="left"/>
        <w:rPr>
          <w:rFonts w:ascii="宋体" w:hAnsi="宋体"/>
          <w:color w:val="000000"/>
          <w:sz w:val="24"/>
        </w:rPr>
      </w:pPr>
      <w:r>
        <w:rPr>
          <w:rFonts w:hint="eastAsia" w:ascii="宋体" w:hAnsi="宋体"/>
          <w:b/>
          <w:bCs/>
          <w:color w:val="000000"/>
          <w:sz w:val="24"/>
        </w:rPr>
        <w:t>（4）职场应用写作与交流</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本课程旨在培养学生职场应用写作，以及市场调查和策划、洽谈和协商、求职和应聘等能力，提高学生职业道德意识，培养严谨务实的工作作风，为实现高质量就业和职业生涯发展奠定基础。</w:t>
      </w:r>
    </w:p>
    <w:p>
      <w:pPr>
        <w:pStyle w:val="4"/>
        <w:ind w:firstLine="482" w:firstLineChars="200"/>
      </w:pPr>
      <w:r>
        <w:rPr>
          <w:rFonts w:hint="eastAsia"/>
        </w:rPr>
        <w:t>3.历史</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（1）中国历史</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（2）世界历史</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4.数学</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本课程初中数学的基础上，要求学生掌握好现代社会工作中生活必备的数学常识，进一步培养学生的基本运算能力，基本计算工具使用能力，空间想象、数型结合、逻辑思维能力和简单应用能力。</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5.英语</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在初中英语的基础上，要求巩固学生的基础词汇和基础语法，使学生掌握一定的语言基础本知识和听、说、读、写的基本技能，获得初步运用英语进行交际的能力。在此基础上，学生能从口头和书面材料中获取所需信息，能就熟悉的话题用英语进行简单的口头交流，能读懂简单用文，能理解并仿照范例书写正常使用书信、便条、通知、说明等应用性文字材料，并能使用工具书自主学习，为今后学习英语和熟练运用打下基础。</w:t>
      </w:r>
    </w:p>
    <w:p>
      <w:pPr>
        <w:spacing w:line="360" w:lineRule="auto"/>
        <w:ind w:firstLine="482"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b/>
          <w:color w:val="000000"/>
          <w:sz w:val="24"/>
        </w:rPr>
        <w:t>6.计算机应用基础</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在初中相关课程的基础上，进一步学习计算机基础知识、常用操作系统的使用、文字处理软件使用、电子表格软件使用、演示文稿软件使用、计算机网的基本操作和使用、熟练掌握计算机操作的基本技能。通过教学，使学生具有一定的文字处理能力，数据处理能力，信息获取、整理、加工能力，网上交互能力，为今后的学习和工作打下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7.农用化学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w:t>
      </w:r>
      <w:r>
        <w:rPr>
          <w:rFonts w:asciiTheme="minorEastAsia" w:hAnsiTheme="minorEastAsia" w:eastAsiaTheme="minorEastAsia"/>
          <w:color w:val="000000"/>
          <w:sz w:val="24"/>
        </w:rPr>
        <w:t>以土壤为基础，以植物营养为中心，以肥料为手段，综合研究三者之间的关系，最后达到使作物增产的目的。</w:t>
      </w:r>
      <w:r>
        <w:rPr>
          <w:rFonts w:hint="eastAsia" w:asciiTheme="minorEastAsia" w:hAnsiTheme="minorEastAsia" w:eastAsiaTheme="minorEastAsia"/>
          <w:color w:val="000000"/>
          <w:sz w:val="24"/>
        </w:rPr>
        <w:t>主要讲授无机化学、有机化学的基础知识，为专业课打好基础。</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8.体育与健康</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学习体育与卫生保健的基础知识和运动技能，掌握科学锻炼和娱乐休闲的基本方法，培养学生从事未来职业所必须的体能和自觉锻炼的习惯；注重学生特长的发展；培养自主锻炼、自我保健和自我调控的意识，全面提高身心素质和社会适应能力，为终身锻炼、继续学习与创业、立业奠定基础。</w:t>
      </w:r>
    </w:p>
    <w:p>
      <w:pPr>
        <w:spacing w:line="360" w:lineRule="auto"/>
        <w:ind w:firstLine="482" w:firstLineChars="200"/>
        <w:jc w:val="left"/>
        <w:rPr>
          <w:rFonts w:asciiTheme="minorEastAsia" w:hAnsiTheme="minorEastAsia" w:eastAsiaTheme="minorEastAsia"/>
          <w:color w:val="000000"/>
          <w:sz w:val="24"/>
        </w:rPr>
      </w:pPr>
      <w:r>
        <w:rPr>
          <w:rFonts w:hint="eastAsia" w:asciiTheme="minorEastAsia" w:hAnsiTheme="minorEastAsia" w:eastAsiaTheme="minorEastAsia"/>
          <w:b/>
          <w:bCs/>
          <w:color w:val="000000"/>
          <w:sz w:val="24"/>
        </w:rPr>
        <w:t>9.劳动实践</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劳动实践，体会劳动创造美好生活，体认劳动不分贵贱，热爱劳动，尊重普通劳动者，培养勤俭、奋斗、创新、奉献的劳动精神；具备满足生存发展需要的基本劳动能力，形成良好劳动习惯。分为校内劳动实践和校外劳动实践两部分。校内劳动实践包括：实训室、课室、洗手间、楼道，周边草坪及指定区域的清洁等；校外劳动实践包括：暑假自主参加实习、实训或其它有益于身心发展的劳动实践等。</w:t>
      </w:r>
    </w:p>
    <w:p>
      <w:pPr>
        <w:pStyle w:val="3"/>
      </w:pPr>
      <w:r>
        <w:rPr>
          <w:rFonts w:hint="eastAsia"/>
        </w:rPr>
        <w:t>（二）专业基础课</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10.家畜解剖生理学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本课程是一门实践性非常强的课程，主要讲授家畜解剖学基础知识、各器官系统的形态结构及生理功能、主要家禽的解剖生理特点，为专业培养打下良好的基础。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11.动物营养与饲料学</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color w:val="000000"/>
          <w:sz w:val="24"/>
        </w:rPr>
        <w:t>本课程属于应用课程，直接服务于畜禽养殖业与饲料工业的生产。通过研究家畜体与饲料养分及环境的内在联系，揭示其供需动态平衡规律，为学好家禽传染病学打下良好的基础。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12.畜禽环境卫生学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是为动物生产专业方向学生开设的一门必修的专业基础课程，要求学生对家畜环境与设施的建设施工、环境调控设备、自动控制设备等有最基本的了解，掌握有关畜禽养殖的环境与设施的基本理论、基础知识和技术发展趋势；能够运用这些知识组织和配置有关动物生产设施的建筑设计和施工等工作。</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13.兽医微生物</w:t>
      </w:r>
    </w:p>
    <w:p>
      <w:pPr>
        <w:spacing w:line="360" w:lineRule="auto"/>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通过对</w:t>
      </w:r>
      <w:r>
        <w:rPr>
          <w:rFonts w:hint="eastAsia" w:asciiTheme="minorEastAsia" w:hAnsiTheme="minorEastAsia" w:eastAsiaTheme="minorEastAsia"/>
          <w:color w:val="000000"/>
          <w:sz w:val="24"/>
        </w:rPr>
        <w:t>本课程</w:t>
      </w:r>
      <w:r>
        <w:rPr>
          <w:rFonts w:asciiTheme="minorEastAsia" w:hAnsiTheme="minorEastAsia" w:eastAsiaTheme="minorEastAsia"/>
          <w:color w:val="000000"/>
          <w:sz w:val="24"/>
        </w:rPr>
        <w:t>的学习，理论方面要求掌握细菌、真菌、四体和病毒等微生物的基本形态、结构、营养需求、毒力和致病性、遗传与变异的机理、外界环境影响因素以及分类与命名；熟悉和了解常见畜禽病原微生物的基本特征、致病因子和机理以及基本的诊断和预防方法，为后续课程的学习打下良好的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14.兽医临床诊断学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是研究诊断动物疾病的方法和理论的课程，主要是运用兽医学的基本理论、基本知识和基本技能对疾病进行诊断的一门课程。通过实践和教学，使学生掌握兽医临床诊断学的主要内容和临床检查的基本方法，重点使学生掌握动物的心血管系统、消化系统、呼吸系统和泌尿系统生殖系统的临床检查内容和方法。</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15.兽医药理学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是研究药物与动物机体相互作用规律的课程。其内容主要包括药物在体内的代谢过程、药理作用和应用范围。通过动物药理学内容的讲授和实验，可使学生了解药物与机体相互作用的规律，掌握药物防治疾病、促进生产以及新药开发和研制的知识和技能，为日后从事基层生产、药政管理以及新药开发等领域的工作打下坚实的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16.动物病理学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本课程是一门专业基础课。它是研究动物疾病的原因和条件、疾病过程中的体能、代谢、形态结构的变化以及这些变化的发生机制的科学，为进一步阐明疾病的本质，疾病的预防、诊断及治疗提供理论基础。</w:t>
      </w:r>
    </w:p>
    <w:p>
      <w:pPr>
        <w:pStyle w:val="3"/>
      </w:pPr>
      <w:r>
        <w:rPr>
          <w:rFonts w:hint="eastAsia"/>
        </w:rPr>
        <w:t>（三）专业核心课</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17.兽医外科与外科手术学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以实用为主，兼顾理论，以注重兽医外科基本理论、基本技术和基本实践为根本原则。主要内容包括概论、动物保定技术、无菌技术、麻醉、手术基本操作、输液输血与供氧、显微外科与微创外科、外科感染、肿瘤、眼疾、头颈部疾病与手术、胸部疾病与手术、腹部疾病与手术、直肠、肛门和泌尿生殖器官疾病与手术、跛行诊断、四肢疾病与手术、蹄病等。</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18.动物传染病学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掌握动物传染病的基本概念、基础理论和基本知识，掌握流行性疾病的发生、发展、转移的一般规律，不仅能为兽禽传染病而后寄生虫经的防治制订相关的控制策略和措施，而且也对中毒性疾病、原因不明的恶性疾病等的病因研究与防治起着独特的作用。通过流行病学的学习，使学生可以基本具备独立分析和解决本课程有关问题的能力，能更好地适应从事相关专业工作。</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19.养猪及猪病防治</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是一门研究提高猪的生产力及养猪生产效益的课程，旨在培养综合运用动物营养、饲料、遗传、育种、繁殖、环境卫生等基础理论知识，解决猪肉产生过程中的技术问题，提高运用适宜的技术措施、管理方式、提供决策的能力，并提高动手操作和实验研究的能力。</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20.养禽及禽病防治</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主要讲授养禽场的规划与建设、禽舍环境调控、家禽的品种、家禽繁育、家禽孵化、家禽饲养管理、家禽常见疾病的防治和禽场的经营管理等。通过教学，使学生掌握养殖以及禽病防治的基本知识和基本技能。</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21.宠物饲养及疾病诊疗技术</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宠物是随着科学技术的发展及人民生活水平提高而产生的。按动物用途可观赏用。本课程主要讲授药用保健型的动物、观赏用的动物的养殖和疫病防治的内容。</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22.动物防疫与检疫技术</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介绍了动物防疫法立法宗旨、调整对象和范围；动物传染病的传染过程、流行过程、防疫措施，流行病学调查和分析方法；动物检疫的原则、分类方法，家畜、禽的临床检查；动物产品检疫；患病动物屠宰后检疫和处理技术和方法；动物尸体剖检的步骤和检查内容；消毒方法和消毒药品等。</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23.宠物美容</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本课程的培养目标是培养宠物相关行业的管理与技能型人员</w:t>
      </w:r>
      <w:r>
        <w:rPr>
          <w:rFonts w:hint="eastAsia" w:cs="宋体" w:asciiTheme="minorEastAsia" w:hAnsiTheme="minorEastAsia" w:eastAsiaTheme="minorEastAsia"/>
          <w:color w:val="000000"/>
          <w:sz w:val="24"/>
        </w:rPr>
        <w:t>。主要培养宠物美容师、宠物护理师，从事宠物饲养及管理，基本的健康护理，对常见犬种的美容与修饰，然后通过实训学会灵活应用所学知识，为以后的进一步深造与学习，为将来走上社会从事宠物行业等工作，打下坚实的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24.畜牧经济管理</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本课程主要讲授农村经济与管理的基本原理和方法，培养学生利用经济信息与经济预测，按经济规律组织、管理、发展商品生产能力。</w:t>
      </w:r>
    </w:p>
    <w:p>
      <w:pPr>
        <w:pStyle w:val="3"/>
      </w:pPr>
      <w:r>
        <w:rPr>
          <w:rFonts w:hint="eastAsia"/>
        </w:rPr>
        <w:t>（四）实践性教学和顶岗实习</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25.实践性教学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以畜牧场常规管理、动物防疫、动物疫病为实践活动主题，巩固课堂所学理论及进行系统的基本操作技能训练，使学生了解本专业的业务范围、管理环节、经营等基本情况，形成职业认同。</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26.企业顶岗实习</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按企业生产的要求进行现场实习。实习期间，学校指派有经验的教师指导，并在实习单位聘用兼职指导教师，主要使学生进行必要的职业体验和社会体验，培养学生的专业技术和职业素质，提高学生的综合职业素养，为就业做好全面的准备。</w:t>
      </w:r>
    </w:p>
    <w:p>
      <w:pPr>
        <w:spacing w:line="360" w:lineRule="auto"/>
        <w:ind w:firstLine="480" w:firstLineChars="200"/>
        <w:jc w:val="left"/>
        <w:rPr>
          <w:rFonts w:asciiTheme="minorEastAsia" w:hAnsiTheme="minorEastAsia" w:eastAsiaTheme="minorEastAsia"/>
          <w:color w:val="000000"/>
          <w:sz w:val="24"/>
        </w:rPr>
      </w:pPr>
    </w:p>
    <w:p>
      <w:pPr>
        <w:numPr>
          <w:ilvl w:val="0"/>
          <w:numId w:val="0"/>
        </w:numPr>
        <w:spacing w:line="360" w:lineRule="auto"/>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lang w:val="en-US" w:eastAsia="zh-CN"/>
        </w:rPr>
        <w:t>七、</w:t>
      </w:r>
      <w:r>
        <w:rPr>
          <w:rFonts w:hint="eastAsia" w:asciiTheme="minorEastAsia" w:hAnsiTheme="minorEastAsia" w:eastAsiaTheme="minorEastAsia"/>
          <w:b/>
          <w:color w:val="000000"/>
          <w:sz w:val="28"/>
          <w:szCs w:val="28"/>
        </w:rPr>
        <w:t>教学活动周数分配表</w:t>
      </w:r>
    </w:p>
    <w:p>
      <w:pPr>
        <w:spacing w:line="360" w:lineRule="auto"/>
        <w:jc w:val="left"/>
        <w:rPr>
          <w:rFonts w:asciiTheme="minorEastAsia" w:hAnsiTheme="minorEastAsia" w:eastAsiaTheme="minorEastAsia"/>
          <w:b/>
          <w:color w:val="000000"/>
          <w:sz w:val="28"/>
          <w:szCs w:val="28"/>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17"/>
        <w:gridCol w:w="617"/>
        <w:gridCol w:w="619"/>
        <w:gridCol w:w="619"/>
        <w:gridCol w:w="619"/>
        <w:gridCol w:w="619"/>
        <w:gridCol w:w="617"/>
        <w:gridCol w:w="617"/>
        <w:gridCol w:w="619"/>
        <w:gridCol w:w="617"/>
        <w:gridCol w:w="617"/>
        <w:gridCol w:w="619"/>
        <w:gridCol w:w="617"/>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6" w:type="dxa"/>
            <w:vMerge w:val="restart"/>
          </w:tcPr>
          <w:p>
            <w:pPr>
              <w:jc w:val="left"/>
              <w:rPr>
                <w:rFonts w:ascii="宋体" w:hAnsi="宋体"/>
                <w:b/>
                <w:color w:val="000000"/>
                <w:kern w:val="0"/>
                <w:sz w:val="24"/>
              </w:rPr>
            </w:pPr>
            <w:r>
              <w:rPr>
                <w:rFonts w:ascii="宋体" w:hAnsi="宋体"/>
                <w:b/>
                <w:color w:val="000000"/>
                <w:kern w:val="0"/>
                <w:sz w:val="24"/>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746760</wp:posOffset>
                      </wp:positionV>
                      <wp:extent cx="160020" cy="167005"/>
                      <wp:effectExtent l="0" t="0" r="0" b="0"/>
                      <wp:wrapNone/>
                      <wp:docPr id="6" name="__TH_B2226"/>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pPr>
                                    <w:snapToGrid w:val="0"/>
                                    <w:rPr>
                                      <w:color w:val="000000"/>
                                    </w:rPr>
                                  </w:pPr>
                                  <w:r>
                                    <w:rPr>
                                      <w:rFonts w:hint="eastAsia"/>
                                      <w:color w:val="000000"/>
                                    </w:rPr>
                                    <w:t>数</w:t>
                                  </w:r>
                                </w:p>
                              </w:txbxContent>
                            </wps:txbx>
                            <wps:bodyPr wrap="square" lIns="0" tIns="0" rIns="0" bIns="0" upright="1"/>
                          </wps:wsp>
                        </a:graphicData>
                      </a:graphic>
                    </wp:anchor>
                  </w:drawing>
                </mc:Choice>
                <mc:Fallback>
                  <w:pict>
                    <v:shape id="__TH_B2226" o:spid="_x0000_s1026" o:spt="202" type="#_x0000_t202" style="position:absolute;left:0pt;margin-left:23.7pt;margin-top:58.8pt;height:13.15pt;width:12.6pt;z-index:251665408;mso-width-relative:page;mso-height-relative:page;" filled="f" stroked="f" coordsize="21600,21600" o:gfxdata="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NrtgAAAAJAQAADwAAAAAAAAABACAAAAAiAAAAZHJzL2Rvd25yZXYueG1sUEsBAhQAFAAA&#10;AAgAh07iQC74WBy2AQAAfgMAAA4AAAAAAAAAAQAgAAAAJw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数</w:t>
                            </w:r>
                          </w:p>
                        </w:txbxContent>
                      </v:textbox>
                    </v:shape>
                  </w:pict>
                </mc:Fallback>
              </mc:AlternateContent>
            </w:r>
            <w:r>
              <w:rPr>
                <w:rFonts w:ascii="宋体" w:hAnsi="宋体"/>
                <w:b/>
                <w:color w:val="000000"/>
                <w:kern w:val="0"/>
                <w:sz w:val="24"/>
              </w:rPr>
              <mc:AlternateContent>
                <mc:Choice Requires="wps">
                  <w:drawing>
                    <wp:anchor distT="0" distB="0" distL="114300" distR="114300" simplePos="0" relativeHeight="251667456" behindDoc="0" locked="0" layoutInCell="1" allowOverlap="1">
                      <wp:simplePos x="0" y="0"/>
                      <wp:positionH relativeFrom="column">
                        <wp:posOffset>162560</wp:posOffset>
                      </wp:positionH>
                      <wp:positionV relativeFrom="paragraph">
                        <wp:posOffset>1037590</wp:posOffset>
                      </wp:positionV>
                      <wp:extent cx="138430" cy="276225"/>
                      <wp:effectExtent l="0" t="0" r="0" b="0"/>
                      <wp:wrapNone/>
                      <wp:docPr id="8" name="__TH_B3228"/>
                      <wp:cNvGraphicFramePr/>
                      <a:graphic xmlns:a="http://schemas.openxmlformats.org/drawingml/2006/main">
                        <a:graphicData uri="http://schemas.microsoft.com/office/word/2010/wordprocessingShape">
                          <wps:wsp>
                            <wps:cNvSpPr txBox="1"/>
                            <wps:spPr>
                              <a:xfrm>
                                <a:off x="0" y="0"/>
                                <a:ext cx="138430" cy="276225"/>
                              </a:xfrm>
                              <a:prstGeom prst="rect">
                                <a:avLst/>
                              </a:prstGeom>
                              <a:noFill/>
                              <a:ln>
                                <a:noFill/>
                              </a:ln>
                            </wps:spPr>
                            <wps:txbx>
                              <w:txbxContent>
                                <w:p>
                                  <w:pPr>
                                    <w:snapToGrid w:val="0"/>
                                    <w:rPr>
                                      <w:color w:val="000000"/>
                                    </w:rPr>
                                  </w:pPr>
                                  <w:r>
                                    <w:rPr>
                                      <w:rFonts w:hint="eastAsia"/>
                                      <w:color w:val="000000"/>
                                    </w:rPr>
                                    <w:t>期</w:t>
                                  </w:r>
                                </w:p>
                              </w:txbxContent>
                            </wps:txbx>
                            <wps:bodyPr lIns="0" tIns="0" rIns="0" bIns="0" upright="1"/>
                          </wps:wsp>
                        </a:graphicData>
                      </a:graphic>
                    </wp:anchor>
                  </w:drawing>
                </mc:Choice>
                <mc:Fallback>
                  <w:pict>
                    <v:shape id="__TH_B3228" o:spid="_x0000_s1026" o:spt="202" type="#_x0000_t202" style="position:absolute;left:0pt;margin-left:12.8pt;margin-top:81.7pt;height:21.75pt;width:10.9pt;z-index:251667456;mso-width-relative:page;mso-height-relative:page;" filled="f" stroked="f" coordsize="21600,21600" o:gfxdata="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KbXm9gA&#10;AAAJAQAADwAAAAAAAAABACAAAAAiAAAAZHJzL2Rvd25yZXYueG1sUEsBAhQAFAAAAAgAh07iQJoD&#10;xHatAQAAcAMAAA4AAAAAAAAAAQAgAAAAJwEAAGRycy9lMm9Eb2MueG1sUEsFBgAAAAAGAAYAWQEA&#10;AEYFAAAAAA==&#10;">
                      <v:fill on="f" focussize="0,0"/>
                      <v:stroke on="f"/>
                      <v:imagedata o:title=""/>
                      <o:lock v:ext="edit" aspectratio="f"/>
                      <v:textbox inset="0mm,0mm,0mm,0mm">
                        <w:txbxContent>
                          <w:p>
                            <w:pPr>
                              <w:snapToGrid w:val="0"/>
                              <w:rPr>
                                <w:color w:val="000000"/>
                              </w:rPr>
                            </w:pPr>
                            <w:r>
                              <w:rPr>
                                <w:rFonts w:hint="eastAsia"/>
                                <w:color w:val="000000"/>
                              </w:rPr>
                              <w:t>期</w:t>
                            </w:r>
                          </w:p>
                        </w:txbxContent>
                      </v:textbox>
                    </v:shape>
                  </w:pict>
                </mc:Fallback>
              </mc:AlternateContent>
            </w:r>
            <w:r>
              <w:rPr>
                <w:rFonts w:ascii="宋体" w:hAnsi="宋体"/>
                <w:b/>
                <w:color w:val="000000"/>
                <w:kern w:val="0"/>
                <w:sz w:val="24"/>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0</wp:posOffset>
                      </wp:positionV>
                      <wp:extent cx="376555" cy="1456690"/>
                      <wp:effectExtent l="4445" t="1270" r="19050" b="8890"/>
                      <wp:wrapNone/>
                      <wp:docPr id="1" name="__TH_L21"/>
                      <wp:cNvGraphicFramePr/>
                      <a:graphic xmlns:a="http://schemas.openxmlformats.org/drawingml/2006/main">
                        <a:graphicData uri="http://schemas.microsoft.com/office/word/2010/wordprocessingShape">
                          <wps:wsp>
                            <wps:cNvCnPr/>
                            <wps:spPr>
                              <a:xfrm>
                                <a:off x="0" y="0"/>
                                <a:ext cx="376555" cy="145669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_TH_L21" o:spid="_x0000_s1026" o:spt="20" style="position:absolute;left:0pt;margin-left:25.4pt;margin-top:0pt;height:114.7pt;width:29.65pt;z-index:251660288;mso-width-relative:page;mso-height-relative:page;" filled="f" stroked="t" coordsize="21600,21600" o:gfxdata="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InGs0wAAAAcBAAAPAAAAAAAA&#10;AAEAIAAAACIAAABkcnMvZG93bnJldi54bWxQSwECFAAUAAAACACHTuJATGT5GN4BAADUAwAADgAA&#10;AAAAAAABACAAAAAiAQAAZHJzL2Uyb0RvYy54bWxQSwUGAAAAAAYABgBZAQAAcgUAAAAA&#10;">
                      <v:fill on="f" focussize="0,0"/>
                      <v:stroke weight="0.5pt" color="#000000" joinstyle="round"/>
                      <v:imagedata o:title=""/>
                      <o:lock v:ext="edit" aspectratio="f"/>
                    </v:line>
                  </w:pict>
                </mc:Fallback>
              </mc:AlternateContent>
            </w:r>
            <w:r>
              <w:rPr>
                <w:rFonts w:ascii="宋体" w:hAnsi="宋体"/>
                <w:b/>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511175</wp:posOffset>
                      </wp:positionV>
                      <wp:extent cx="712470" cy="945515"/>
                      <wp:effectExtent l="3810" t="3175" r="7620" b="3810"/>
                      <wp:wrapNone/>
                      <wp:docPr id="2" name="__TH_L22"/>
                      <wp:cNvGraphicFramePr/>
                      <a:graphic xmlns:a="http://schemas.openxmlformats.org/drawingml/2006/main">
                        <a:graphicData uri="http://schemas.microsoft.com/office/word/2010/wordprocessingShape">
                          <wps:wsp>
                            <wps:cNvCnPr/>
                            <wps:spPr>
                              <a:xfrm>
                                <a:off x="0" y="0"/>
                                <a:ext cx="712470" cy="94551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_TH_L22" o:spid="_x0000_s1026" o:spt="20" style="position:absolute;left:0pt;margin-left:-1.05pt;margin-top:40.25pt;height:74.45pt;width:56.1pt;z-index:251661312;mso-width-relative:page;mso-height-relative:page;" filled="f" stroked="t" coordsize="21600,21600" o:gfxdata="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GkBXtYAAAAJAQAADwAAAAAAAAAB&#10;ACAAAAAiAAAAZHJzL2Rvd25yZXYueG1sUEsBAhQAFAAAAAgAh07iQFLBV4PZAQAA0wMAAA4AAAAA&#10;AAAAAQAgAAAAJQEAAGRycy9lMm9Eb2MueG1sUEsFBgAAAAAGAAYAWQEAAHAFAAAAAA==&#10;">
                      <v:fill on="f" focussize="0,0"/>
                      <v:stroke weight="0.5pt" color="#000000" joinstyle="round"/>
                      <v:imagedata o:title=""/>
                      <o:lock v:ext="edit" aspectratio="f"/>
                    </v:line>
                  </w:pict>
                </mc:Fallback>
              </mc:AlternateContent>
            </w:r>
            <w:r>
              <w:rPr>
                <w:rFonts w:ascii="宋体" w:hAnsi="宋体"/>
                <w:b/>
                <w:color w:val="000000"/>
                <w:kern w:val="0"/>
                <w:sz w:val="24"/>
              </w:rPr>
              <mc:AlternateContent>
                <mc:Choice Requires="wps">
                  <w:drawing>
                    <wp:anchor distT="0" distB="0" distL="114300" distR="114300" simplePos="0" relativeHeight="251663360" behindDoc="0" locked="0" layoutInCell="1" allowOverlap="1">
                      <wp:simplePos x="0" y="0"/>
                      <wp:positionH relativeFrom="column">
                        <wp:posOffset>538480</wp:posOffset>
                      </wp:positionH>
                      <wp:positionV relativeFrom="paragraph">
                        <wp:posOffset>344805</wp:posOffset>
                      </wp:positionV>
                      <wp:extent cx="160655" cy="166370"/>
                      <wp:effectExtent l="0" t="0" r="0" b="0"/>
                      <wp:wrapNone/>
                      <wp:docPr id="4" name="__TH_B1224"/>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wps:spPr>
                            <wps:txbx>
                              <w:txbxContent>
                                <w:p>
                                  <w:pPr>
                                    <w:snapToGrid w:val="0"/>
                                    <w:rPr>
                                      <w:color w:val="000000"/>
                                    </w:rPr>
                                  </w:pPr>
                                  <w:r>
                                    <w:rPr>
                                      <w:rFonts w:hint="eastAsia"/>
                                      <w:color w:val="000000"/>
                                    </w:rPr>
                                    <w:t>容</w:t>
                                  </w:r>
                                </w:p>
                              </w:txbxContent>
                            </wps:txbx>
                            <wps:bodyPr wrap="square" lIns="0" tIns="0" rIns="0" bIns="0" upright="1"/>
                          </wps:wsp>
                        </a:graphicData>
                      </a:graphic>
                    </wp:anchor>
                  </w:drawing>
                </mc:Choice>
                <mc:Fallback>
                  <w:pict>
                    <v:shape id="__TH_B1224" o:spid="_x0000_s1026" o:spt="202" type="#_x0000_t202" style="position:absolute;left:0pt;margin-left:42.4pt;margin-top:27.15pt;height:13.1pt;width:12.65pt;z-index:251663360;mso-width-relative:page;mso-height-relative:page;" filled="f" stroked="f" coordsize="21600,21600" o:gfxdata="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DMMZ1wAAAAgBAAAPAAAAAAAAAAEAIAAAACIAAABkcnMvZG93bnJldi54bWxQSwECFAAU&#10;AAAACACHTuJAXIouIrkBAAB+AwAADgAAAAAAAAABACAAAAAmAQAAZHJzL2Uyb0RvYy54bWxQSwUG&#10;AAAAAAYABgBZAQAAUQUAAAAA&#10;">
                      <v:fill on="f" focussize="0,0"/>
                      <v:stroke on="f"/>
                      <v:imagedata o:title=""/>
                      <o:lock v:ext="edit" aspectratio="f"/>
                      <v:textbox inset="0mm,0mm,0mm,0mm">
                        <w:txbxContent>
                          <w:p>
                            <w:pPr>
                              <w:snapToGrid w:val="0"/>
                              <w:rPr>
                                <w:color w:val="000000"/>
                              </w:rPr>
                            </w:pPr>
                            <w:r>
                              <w:rPr>
                                <w:rFonts w:hint="eastAsia"/>
                                <w:color w:val="000000"/>
                              </w:rPr>
                              <w:t>容</w:t>
                            </w:r>
                          </w:p>
                        </w:txbxContent>
                      </v:textbox>
                    </v:shape>
                  </w:pict>
                </mc:Fallback>
              </mc:AlternateContent>
            </w:r>
            <w:r>
              <w:rPr>
                <w:rFonts w:ascii="宋体" w:hAnsi="宋体"/>
                <w:b/>
                <w:color w:val="000000"/>
                <w:kern w:val="0"/>
                <w:sz w:val="24"/>
              </w:rPr>
              <mc:AlternateContent>
                <mc:Choice Requires="wps">
                  <w:drawing>
                    <wp:anchor distT="0" distB="0" distL="114300" distR="114300" simplePos="0" relativeHeight="251662336" behindDoc="0" locked="0" layoutInCell="1" allowOverlap="1">
                      <wp:simplePos x="0" y="0"/>
                      <wp:positionH relativeFrom="column">
                        <wp:posOffset>434340</wp:posOffset>
                      </wp:positionH>
                      <wp:positionV relativeFrom="paragraph">
                        <wp:posOffset>94615</wp:posOffset>
                      </wp:positionV>
                      <wp:extent cx="160020" cy="167005"/>
                      <wp:effectExtent l="0" t="0" r="0" b="0"/>
                      <wp:wrapNone/>
                      <wp:docPr id="3" name="__TH_B1123"/>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pPr>
                                    <w:snapToGrid w:val="0"/>
                                    <w:rPr>
                                      <w:color w:val="000000"/>
                                    </w:rPr>
                                  </w:pPr>
                                  <w:r>
                                    <w:rPr>
                                      <w:rFonts w:hint="eastAsia"/>
                                      <w:color w:val="000000"/>
                                    </w:rPr>
                                    <w:t>内</w:t>
                                  </w:r>
                                </w:p>
                              </w:txbxContent>
                            </wps:txbx>
                            <wps:bodyPr wrap="square" lIns="0" tIns="0" rIns="0" bIns="0" upright="1"/>
                          </wps:wsp>
                        </a:graphicData>
                      </a:graphic>
                    </wp:anchor>
                  </w:drawing>
                </mc:Choice>
                <mc:Fallback>
                  <w:pict>
                    <v:shape id="__TH_B1123" o:spid="_x0000_s1026" o:spt="202" type="#_x0000_t202" style="position:absolute;left:0pt;margin-left:34.2pt;margin-top:7.45pt;height:13.15pt;width:12.6pt;z-index:251662336;mso-width-relative:page;mso-height-relative:page;" filled="f" stroked="f" coordsize="21600,21600" o:gfxdata="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cSSgNUAAAAHAQAADwAAAAAAAAABACAAAAAiAAAAZHJzL2Rvd25yZXYueG1sUEsBAhQAFAAAAAgA&#10;h07iQMO2kiy2AQAAfgMAAA4AAAAAAAAAAQAgAAAAJAEAAGRycy9lMm9Eb2MueG1sUEsFBgAAAAAG&#10;AAYAWQEAAEwFAAAAAA==&#10;">
                      <v:fill on="f" focussize="0,0"/>
                      <v:stroke on="f"/>
                      <v:imagedata o:title=""/>
                      <o:lock v:ext="edit" aspectratio="f"/>
                      <v:textbox inset="0mm,0mm,0mm,0mm">
                        <w:txbxContent>
                          <w:p>
                            <w:pPr>
                              <w:snapToGrid w:val="0"/>
                              <w:rPr>
                                <w:color w:val="000000"/>
                              </w:rPr>
                            </w:pPr>
                            <w:r>
                              <w:rPr>
                                <w:rFonts w:hint="eastAsia"/>
                                <w:color w:val="000000"/>
                              </w:rPr>
                              <w:t>内</w:t>
                            </w:r>
                          </w:p>
                        </w:txbxContent>
                      </v:textbox>
                    </v:shape>
                  </w:pict>
                </mc:Fallback>
              </mc:AlternateContent>
            </w:r>
            <w:r>
              <w:rPr>
                <w:rFonts w:ascii="宋体" w:hAnsi="宋体"/>
                <w:b/>
                <w:color w:val="000000"/>
                <w:kern w:val="0"/>
                <w:sz w:val="24"/>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747395</wp:posOffset>
                      </wp:positionV>
                      <wp:extent cx="160020" cy="166370"/>
                      <wp:effectExtent l="0" t="0" r="0" b="0"/>
                      <wp:wrapNone/>
                      <wp:docPr id="7" name="__TH_B3127"/>
                      <wp:cNvGraphicFramePr/>
                      <a:graphic xmlns:a="http://schemas.openxmlformats.org/drawingml/2006/main">
                        <a:graphicData uri="http://schemas.microsoft.com/office/word/2010/wordprocessingShape">
                          <wps:wsp>
                            <wps:cNvSpPr txBox="1"/>
                            <wps:spPr>
                              <a:xfrm>
                                <a:off x="0" y="0"/>
                                <a:ext cx="160020" cy="166370"/>
                              </a:xfrm>
                              <a:prstGeom prst="rect">
                                <a:avLst/>
                              </a:prstGeom>
                              <a:noFill/>
                              <a:ln>
                                <a:noFill/>
                              </a:ln>
                            </wps:spPr>
                            <wps:txbx>
                              <w:txbxContent>
                                <w:p>
                                  <w:pPr>
                                    <w:snapToGrid w:val="0"/>
                                    <w:rPr>
                                      <w:color w:val="000000"/>
                                    </w:rPr>
                                  </w:pPr>
                                  <w:r>
                                    <w:rPr>
                                      <w:rFonts w:hint="eastAsia"/>
                                      <w:color w:val="000000"/>
                                    </w:rPr>
                                    <w:t>学</w:t>
                                  </w:r>
                                </w:p>
                              </w:txbxContent>
                            </wps:txbx>
                            <wps:bodyPr wrap="square" lIns="0" tIns="0" rIns="0" bIns="0" upright="1"/>
                          </wps:wsp>
                        </a:graphicData>
                      </a:graphic>
                    </wp:anchor>
                  </w:drawing>
                </mc:Choice>
                <mc:Fallback>
                  <w:pict>
                    <v:shape id="__TH_B3127" o:spid="_x0000_s1026" o:spt="202" type="#_x0000_t202" style="position:absolute;left:0pt;margin-left:5.1pt;margin-top:58.85pt;height:13.1pt;width:12.6pt;z-index:251666432;mso-width-relative:page;mso-height-relative:page;" filled="f" stroked="f" coordsize="21600,21600" o:gfxdata="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7UcT32QAAAAkBAAAPAAAAAAAAAAEAIAAAACIAAABkcnMvZG93bnJldi54bWxQSwECFAAU&#10;AAAACACHTuJAxhjtMbcBAAB+AwAADgAAAAAAAAABACAAAAAoAQAAZHJzL2Uyb0RvYy54bWxQSwUG&#10;AAAAAAYABgBZAQAAUQUAAAAA&#10;">
                      <v:fill on="f" focussize="0,0"/>
                      <v:stroke on="f"/>
                      <v:imagedata o:title=""/>
                      <o:lock v:ext="edit" aspectratio="f"/>
                      <v:textbox inset="0mm,0mm,0mm,0mm">
                        <w:txbxContent>
                          <w:p>
                            <w:pPr>
                              <w:snapToGrid w:val="0"/>
                              <w:rPr>
                                <w:color w:val="000000"/>
                              </w:rPr>
                            </w:pPr>
                            <w:r>
                              <w:rPr>
                                <w:rFonts w:hint="eastAsia"/>
                                <w:color w:val="000000"/>
                              </w:rPr>
                              <w:t>学</w:t>
                            </w:r>
                          </w:p>
                        </w:txbxContent>
                      </v:textbox>
                    </v:shape>
                  </w:pict>
                </mc:Fallback>
              </mc:AlternateContent>
            </w:r>
            <w:r>
              <w:rPr>
                <w:rFonts w:ascii="宋体" w:hAnsi="宋体"/>
                <w:b/>
                <w:color w:val="000000"/>
                <w:kern w:val="0"/>
                <w:sz w:val="24"/>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174625</wp:posOffset>
                      </wp:positionV>
                      <wp:extent cx="160655" cy="166370"/>
                      <wp:effectExtent l="0" t="0" r="0" b="0"/>
                      <wp:wrapNone/>
                      <wp:docPr id="5" name="__TH_B2125"/>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wps:spPr>
                            <wps:txbx>
                              <w:txbxContent>
                                <w:p>
                                  <w:pPr>
                                    <w:snapToGrid w:val="0"/>
                                    <w:rPr>
                                      <w:color w:val="000000"/>
                                    </w:rPr>
                                  </w:pPr>
                                  <w:r>
                                    <w:rPr>
                                      <w:rFonts w:hint="eastAsia"/>
                                      <w:color w:val="000000"/>
                                    </w:rPr>
                                    <w:t>周</w:t>
                                  </w:r>
                                </w:p>
                              </w:txbxContent>
                            </wps:txbx>
                            <wps:bodyPr wrap="square" lIns="0" tIns="0" rIns="0" bIns="0" upright="1"/>
                          </wps:wsp>
                        </a:graphicData>
                      </a:graphic>
                    </wp:anchor>
                  </w:drawing>
                </mc:Choice>
                <mc:Fallback>
                  <w:pict>
                    <v:shape id="__TH_B2125" o:spid="_x0000_s1026" o:spt="202" type="#_x0000_t202" style="position:absolute;left:0pt;margin-left:5.25pt;margin-top:13.75pt;height:13.1pt;width:12.65pt;z-index:251664384;mso-width-relative:page;mso-height-relative:page;" filled="f" stroked="f" coordsize="21600,21600" o:gfxdata="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R7FldYAAAAHAQAADwAAAAAAAAABACAAAAAiAAAAZHJzL2Rvd25yZXYueG1sUEsBAhQAFAAA&#10;AAgAh07iQJpBYaC4AQAAfgMAAA4AAAAAAAAAAQAgAAAAJQ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周</w:t>
                            </w:r>
                          </w:p>
                        </w:txbxContent>
                      </v:textbox>
                    </v:shape>
                  </w:pict>
                </mc:Fallback>
              </mc:AlternateContent>
            </w:r>
          </w:p>
        </w:tc>
        <w:tc>
          <w:tcPr>
            <w:tcW w:w="617" w:type="dxa"/>
            <w:vMerge w:val="restart"/>
            <w:vAlign w:val="center"/>
          </w:tcPr>
          <w:p>
            <w:pPr>
              <w:spacing w:line="200" w:lineRule="atLeast"/>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入学教育与军训</w:t>
            </w:r>
          </w:p>
        </w:tc>
        <w:tc>
          <w:tcPr>
            <w:tcW w:w="617" w:type="dxa"/>
            <w:vMerge w:val="restart"/>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课堂教学</w:t>
            </w:r>
          </w:p>
        </w:tc>
        <w:tc>
          <w:tcPr>
            <w:tcW w:w="2476" w:type="dxa"/>
            <w:gridSpan w:val="4"/>
            <w:vAlign w:val="center"/>
          </w:tcPr>
          <w:p>
            <w:pPr>
              <w:jc w:val="center"/>
              <w:rPr>
                <w:rFonts w:asciiTheme="majorEastAsia" w:hAnsiTheme="majorEastAsia" w:eastAsiaTheme="majorEastAsia"/>
                <w:color w:val="000000"/>
                <w:kern w:val="0"/>
                <w:sz w:val="20"/>
                <w:szCs w:val="21"/>
              </w:rPr>
            </w:pPr>
            <w:r>
              <w:rPr>
                <w:rFonts w:hint="eastAsia" w:asciiTheme="majorEastAsia" w:hAnsiTheme="majorEastAsia" w:eastAsiaTheme="majorEastAsia"/>
                <w:color w:val="000000"/>
                <w:kern w:val="0"/>
                <w:szCs w:val="21"/>
              </w:rPr>
              <w:t>校内集中实训</w:t>
            </w:r>
          </w:p>
        </w:tc>
        <w:tc>
          <w:tcPr>
            <w:tcW w:w="617" w:type="dxa"/>
            <w:vMerge w:val="restart"/>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认识实习</w:t>
            </w:r>
          </w:p>
        </w:tc>
        <w:tc>
          <w:tcPr>
            <w:tcW w:w="617" w:type="dxa"/>
            <w:vMerge w:val="restart"/>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顶岗实习前教育</w:t>
            </w:r>
          </w:p>
        </w:tc>
        <w:tc>
          <w:tcPr>
            <w:tcW w:w="619" w:type="dxa"/>
            <w:vMerge w:val="restart"/>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顶岗实习</w:t>
            </w:r>
          </w:p>
        </w:tc>
        <w:tc>
          <w:tcPr>
            <w:tcW w:w="617" w:type="dxa"/>
            <w:vMerge w:val="restart"/>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机动</w:t>
            </w:r>
          </w:p>
        </w:tc>
        <w:tc>
          <w:tcPr>
            <w:tcW w:w="617" w:type="dxa"/>
            <w:vMerge w:val="restart"/>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考核</w:t>
            </w:r>
          </w:p>
        </w:tc>
        <w:tc>
          <w:tcPr>
            <w:tcW w:w="619" w:type="dxa"/>
            <w:vMerge w:val="restart"/>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毕业教育</w:t>
            </w:r>
          </w:p>
        </w:tc>
        <w:tc>
          <w:tcPr>
            <w:tcW w:w="617" w:type="dxa"/>
            <w:vMerge w:val="restart"/>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寒暑假</w:t>
            </w:r>
          </w:p>
        </w:tc>
        <w:tc>
          <w:tcPr>
            <w:tcW w:w="615" w:type="dxa"/>
            <w:vMerge w:val="restart"/>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06" w:type="dxa"/>
            <w:vMerge w:val="continue"/>
          </w:tcPr>
          <w:p>
            <w:pPr>
              <w:jc w:val="left"/>
              <w:rPr>
                <w:rFonts w:ascii="宋体" w:hAnsi="宋体"/>
                <w:b/>
                <w:color w:val="000000"/>
                <w:kern w:val="0"/>
                <w:sz w:val="24"/>
              </w:rPr>
            </w:pPr>
          </w:p>
        </w:tc>
        <w:tc>
          <w:tcPr>
            <w:tcW w:w="617" w:type="dxa"/>
            <w:vMerge w:val="continue"/>
            <w:vAlign w:val="center"/>
          </w:tcPr>
          <w:p>
            <w:pPr>
              <w:jc w:val="center"/>
              <w:rPr>
                <w:rFonts w:asciiTheme="majorEastAsia" w:hAnsiTheme="majorEastAsia" w:eastAsiaTheme="majorEastAsia"/>
                <w:color w:val="000000"/>
                <w:kern w:val="0"/>
                <w:sz w:val="20"/>
                <w:szCs w:val="21"/>
              </w:rPr>
            </w:pPr>
          </w:p>
        </w:tc>
        <w:tc>
          <w:tcPr>
            <w:tcW w:w="617" w:type="dxa"/>
            <w:vMerge w:val="continue"/>
            <w:vAlign w:val="center"/>
          </w:tcPr>
          <w:p>
            <w:pPr>
              <w:jc w:val="center"/>
              <w:rPr>
                <w:rFonts w:asciiTheme="majorEastAsia" w:hAnsiTheme="majorEastAsia" w:eastAsiaTheme="majorEastAsia"/>
                <w:color w:val="000000"/>
                <w:kern w:val="0"/>
                <w:sz w:val="20"/>
                <w:szCs w:val="21"/>
              </w:rPr>
            </w:pPr>
          </w:p>
        </w:tc>
        <w:tc>
          <w:tcPr>
            <w:tcW w:w="619" w:type="dxa"/>
            <w:vAlign w:val="center"/>
          </w:tcPr>
          <w:p>
            <w:pPr>
              <w:jc w:val="center"/>
              <w:rPr>
                <w:rFonts w:asciiTheme="majorEastAsia" w:hAnsiTheme="majorEastAsia" w:eastAsiaTheme="majorEastAsia"/>
                <w:color w:val="000000"/>
                <w:kern w:val="0"/>
                <w:sz w:val="20"/>
                <w:szCs w:val="21"/>
              </w:rPr>
            </w:pPr>
          </w:p>
        </w:tc>
        <w:tc>
          <w:tcPr>
            <w:tcW w:w="619" w:type="dxa"/>
            <w:vAlign w:val="center"/>
          </w:tcPr>
          <w:p>
            <w:pPr>
              <w:jc w:val="center"/>
              <w:rPr>
                <w:rFonts w:asciiTheme="majorEastAsia" w:hAnsiTheme="majorEastAsia" w:eastAsiaTheme="majorEastAsia"/>
                <w:color w:val="000000"/>
                <w:kern w:val="0"/>
                <w:sz w:val="20"/>
                <w:szCs w:val="21"/>
              </w:rPr>
            </w:pPr>
          </w:p>
        </w:tc>
        <w:tc>
          <w:tcPr>
            <w:tcW w:w="619" w:type="dxa"/>
            <w:vAlign w:val="center"/>
          </w:tcPr>
          <w:p>
            <w:pPr>
              <w:jc w:val="center"/>
              <w:rPr>
                <w:rFonts w:asciiTheme="majorEastAsia" w:hAnsiTheme="majorEastAsia" w:eastAsiaTheme="majorEastAsia"/>
                <w:color w:val="000000"/>
                <w:kern w:val="0"/>
                <w:sz w:val="20"/>
                <w:szCs w:val="21"/>
              </w:rPr>
            </w:pPr>
          </w:p>
        </w:tc>
        <w:tc>
          <w:tcPr>
            <w:tcW w:w="619" w:type="dxa"/>
            <w:vAlign w:val="center"/>
          </w:tcPr>
          <w:p>
            <w:pPr>
              <w:jc w:val="center"/>
              <w:rPr>
                <w:rFonts w:asciiTheme="majorEastAsia" w:hAnsiTheme="majorEastAsia" w:eastAsiaTheme="majorEastAsia"/>
                <w:color w:val="000000"/>
                <w:kern w:val="0"/>
                <w:sz w:val="20"/>
                <w:szCs w:val="21"/>
              </w:rPr>
            </w:pPr>
          </w:p>
        </w:tc>
        <w:tc>
          <w:tcPr>
            <w:tcW w:w="617" w:type="dxa"/>
            <w:vMerge w:val="continue"/>
            <w:vAlign w:val="center"/>
          </w:tcPr>
          <w:p>
            <w:pPr>
              <w:jc w:val="center"/>
              <w:rPr>
                <w:rFonts w:asciiTheme="majorEastAsia" w:hAnsiTheme="majorEastAsia" w:eastAsiaTheme="majorEastAsia"/>
                <w:color w:val="000000"/>
                <w:kern w:val="0"/>
                <w:sz w:val="20"/>
                <w:szCs w:val="21"/>
              </w:rPr>
            </w:pPr>
          </w:p>
        </w:tc>
        <w:tc>
          <w:tcPr>
            <w:tcW w:w="617" w:type="dxa"/>
            <w:vMerge w:val="continue"/>
            <w:vAlign w:val="center"/>
          </w:tcPr>
          <w:p>
            <w:pPr>
              <w:jc w:val="center"/>
              <w:rPr>
                <w:rFonts w:asciiTheme="majorEastAsia" w:hAnsiTheme="majorEastAsia" w:eastAsiaTheme="majorEastAsia"/>
                <w:color w:val="000000"/>
                <w:kern w:val="0"/>
                <w:sz w:val="20"/>
                <w:szCs w:val="21"/>
              </w:rPr>
            </w:pPr>
          </w:p>
        </w:tc>
        <w:tc>
          <w:tcPr>
            <w:tcW w:w="619" w:type="dxa"/>
            <w:vMerge w:val="continue"/>
            <w:vAlign w:val="center"/>
          </w:tcPr>
          <w:p>
            <w:pPr>
              <w:jc w:val="center"/>
              <w:rPr>
                <w:rFonts w:asciiTheme="majorEastAsia" w:hAnsiTheme="majorEastAsia" w:eastAsiaTheme="majorEastAsia"/>
                <w:color w:val="000000"/>
                <w:kern w:val="0"/>
                <w:sz w:val="20"/>
                <w:szCs w:val="21"/>
              </w:rPr>
            </w:pPr>
          </w:p>
        </w:tc>
        <w:tc>
          <w:tcPr>
            <w:tcW w:w="617" w:type="dxa"/>
            <w:vMerge w:val="continue"/>
            <w:vAlign w:val="center"/>
          </w:tcPr>
          <w:p>
            <w:pPr>
              <w:jc w:val="center"/>
              <w:rPr>
                <w:rFonts w:asciiTheme="majorEastAsia" w:hAnsiTheme="majorEastAsia" w:eastAsiaTheme="majorEastAsia"/>
                <w:color w:val="000000"/>
                <w:kern w:val="0"/>
                <w:sz w:val="20"/>
                <w:szCs w:val="21"/>
              </w:rPr>
            </w:pPr>
          </w:p>
        </w:tc>
        <w:tc>
          <w:tcPr>
            <w:tcW w:w="617" w:type="dxa"/>
            <w:vMerge w:val="continue"/>
            <w:vAlign w:val="center"/>
          </w:tcPr>
          <w:p>
            <w:pPr>
              <w:jc w:val="center"/>
              <w:rPr>
                <w:rFonts w:asciiTheme="majorEastAsia" w:hAnsiTheme="majorEastAsia" w:eastAsiaTheme="majorEastAsia"/>
                <w:color w:val="000000"/>
                <w:kern w:val="0"/>
                <w:sz w:val="20"/>
                <w:szCs w:val="21"/>
              </w:rPr>
            </w:pPr>
          </w:p>
        </w:tc>
        <w:tc>
          <w:tcPr>
            <w:tcW w:w="619" w:type="dxa"/>
            <w:vMerge w:val="continue"/>
            <w:vAlign w:val="center"/>
          </w:tcPr>
          <w:p>
            <w:pPr>
              <w:jc w:val="center"/>
              <w:rPr>
                <w:rFonts w:asciiTheme="majorEastAsia" w:hAnsiTheme="majorEastAsia" w:eastAsiaTheme="majorEastAsia"/>
                <w:color w:val="000000"/>
                <w:kern w:val="0"/>
                <w:sz w:val="20"/>
                <w:szCs w:val="21"/>
              </w:rPr>
            </w:pPr>
          </w:p>
        </w:tc>
        <w:tc>
          <w:tcPr>
            <w:tcW w:w="617" w:type="dxa"/>
            <w:vMerge w:val="continue"/>
            <w:vAlign w:val="center"/>
          </w:tcPr>
          <w:p>
            <w:pPr>
              <w:jc w:val="center"/>
              <w:rPr>
                <w:rFonts w:asciiTheme="majorEastAsia" w:hAnsiTheme="majorEastAsia" w:eastAsiaTheme="majorEastAsia"/>
                <w:color w:val="000000"/>
                <w:kern w:val="0"/>
                <w:sz w:val="20"/>
                <w:szCs w:val="21"/>
              </w:rPr>
            </w:pPr>
          </w:p>
        </w:tc>
        <w:tc>
          <w:tcPr>
            <w:tcW w:w="615" w:type="dxa"/>
            <w:vMerge w:val="continue"/>
            <w:vAlign w:val="center"/>
          </w:tcPr>
          <w:p>
            <w:pPr>
              <w:jc w:val="center"/>
              <w:rPr>
                <w:rFonts w:asciiTheme="majorEastAsia" w:hAnsiTheme="majorEastAsia" w:eastAsiaTheme="majorEastAsia"/>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kern w:val="0"/>
                <w:sz w:val="24"/>
              </w:rPr>
            </w:pPr>
            <w:r>
              <w:rPr>
                <w:rFonts w:hint="eastAsia" w:ascii="宋体" w:hAnsi="宋体"/>
                <w:b/>
                <w:color w:val="000000"/>
                <w:kern w:val="0"/>
                <w:sz w:val="24"/>
              </w:rPr>
              <w:t>一</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17</w:t>
            </w: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615"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kern w:val="0"/>
                <w:sz w:val="24"/>
              </w:rPr>
            </w:pPr>
            <w:r>
              <w:rPr>
                <w:rFonts w:hint="eastAsia" w:ascii="宋体" w:hAnsi="宋体"/>
                <w:b/>
                <w:color w:val="000000"/>
                <w:kern w:val="0"/>
                <w:sz w:val="24"/>
              </w:rPr>
              <w:t>二</w:t>
            </w: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18</w:t>
            </w: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0.5</w:t>
            </w:r>
          </w:p>
        </w:tc>
        <w:tc>
          <w:tcPr>
            <w:tcW w:w="617"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0.5</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8</w:t>
            </w:r>
          </w:p>
        </w:tc>
        <w:tc>
          <w:tcPr>
            <w:tcW w:w="615"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kern w:val="0"/>
                <w:sz w:val="24"/>
              </w:rPr>
            </w:pPr>
            <w:r>
              <w:rPr>
                <w:rFonts w:hint="eastAsia" w:ascii="宋体" w:hAnsi="宋体"/>
                <w:b/>
                <w:color w:val="000000"/>
                <w:kern w:val="0"/>
                <w:sz w:val="24"/>
              </w:rPr>
              <w:t>三</w:t>
            </w: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18</w:t>
            </w: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615"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kern w:val="0"/>
                <w:sz w:val="24"/>
              </w:rPr>
            </w:pPr>
            <w:r>
              <w:rPr>
                <w:rFonts w:hint="eastAsia" w:ascii="宋体" w:hAnsi="宋体"/>
                <w:bCs/>
                <w:color w:val="000000"/>
                <w:kern w:val="0"/>
                <w:sz w:val="24"/>
              </w:rPr>
              <w:t>四</w:t>
            </w: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18</w:t>
            </w: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8</w:t>
            </w:r>
          </w:p>
        </w:tc>
        <w:tc>
          <w:tcPr>
            <w:tcW w:w="615"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kern w:val="0"/>
                <w:sz w:val="24"/>
              </w:rPr>
            </w:pPr>
            <w:r>
              <w:rPr>
                <w:rFonts w:hint="eastAsia" w:ascii="宋体" w:hAnsi="宋体"/>
                <w:bCs/>
                <w:color w:val="000000"/>
                <w:kern w:val="0"/>
                <w:sz w:val="24"/>
              </w:rPr>
              <w:t>五</w:t>
            </w: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9"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18</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7"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615"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kern w:val="0"/>
                <w:sz w:val="24"/>
              </w:rPr>
            </w:pPr>
            <w:r>
              <w:rPr>
                <w:rFonts w:hint="eastAsia" w:ascii="宋体" w:hAnsi="宋体"/>
                <w:bCs/>
                <w:color w:val="000000"/>
                <w:kern w:val="0"/>
                <w:sz w:val="24"/>
              </w:rPr>
              <w:t>六</w:t>
            </w: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18</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7"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8</w:t>
            </w:r>
          </w:p>
        </w:tc>
        <w:tc>
          <w:tcPr>
            <w:tcW w:w="615"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kern w:val="0"/>
                <w:sz w:val="24"/>
              </w:rPr>
            </w:pPr>
            <w:r>
              <w:rPr>
                <w:rFonts w:hint="eastAsia" w:ascii="宋体" w:hAnsi="宋体"/>
                <w:bCs/>
                <w:color w:val="000000"/>
                <w:kern w:val="0"/>
                <w:sz w:val="24"/>
              </w:rPr>
              <w:t>合计</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71</w:t>
            </w: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9" w:type="dxa"/>
            <w:vAlign w:val="center"/>
          </w:tcPr>
          <w:p>
            <w:pPr>
              <w:jc w:val="center"/>
              <w:rPr>
                <w:rFonts w:asciiTheme="majorEastAsia" w:hAnsiTheme="majorEastAsia" w:eastAsiaTheme="majorEastAsia"/>
                <w:color w:val="000000"/>
                <w:kern w:val="0"/>
                <w:szCs w:val="21"/>
              </w:rPr>
            </w:pP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0.5</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9"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36</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5.5</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4</w:t>
            </w:r>
          </w:p>
        </w:tc>
        <w:tc>
          <w:tcPr>
            <w:tcW w:w="619"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w:t>
            </w:r>
          </w:p>
        </w:tc>
        <w:tc>
          <w:tcPr>
            <w:tcW w:w="617"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36</w:t>
            </w:r>
          </w:p>
        </w:tc>
        <w:tc>
          <w:tcPr>
            <w:tcW w:w="615" w:type="dxa"/>
            <w:vAlign w:val="center"/>
          </w:tcPr>
          <w:p>
            <w:pPr>
              <w:jc w:val="center"/>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156</w:t>
            </w:r>
          </w:p>
        </w:tc>
      </w:tr>
    </w:tbl>
    <w:p>
      <w:pPr>
        <w:jc w:val="left"/>
        <w:rPr>
          <w:rFonts w:ascii="宋体" w:hAnsi="宋体"/>
          <w:b/>
          <w:color w:val="000000"/>
          <w:sz w:val="24"/>
        </w:rPr>
      </w:pPr>
    </w:p>
    <w:p>
      <w:pPr>
        <w:numPr>
          <w:ilvl w:val="0"/>
          <w:numId w:val="0"/>
        </w:numPr>
        <w:jc w:val="left"/>
        <w:rPr>
          <w:rFonts w:ascii="宋体" w:hAnsi="宋体"/>
          <w:b/>
          <w:color w:val="000000"/>
          <w:sz w:val="28"/>
          <w:szCs w:val="28"/>
        </w:rPr>
      </w:pPr>
      <w:r>
        <w:rPr>
          <w:rFonts w:hint="eastAsia" w:ascii="宋体" w:hAnsi="宋体"/>
          <w:b/>
          <w:color w:val="000000"/>
          <w:sz w:val="28"/>
          <w:szCs w:val="28"/>
          <w:lang w:val="en-US" w:eastAsia="zh-CN"/>
        </w:rPr>
        <w:t>八、</w:t>
      </w:r>
      <w:r>
        <w:rPr>
          <w:rFonts w:hint="eastAsia" w:ascii="宋体" w:hAnsi="宋体"/>
          <w:b/>
          <w:color w:val="000000"/>
          <w:sz w:val="28"/>
          <w:szCs w:val="28"/>
        </w:rPr>
        <w:t>课程设置及学时分配表</w:t>
      </w:r>
    </w:p>
    <w:p>
      <w:pPr>
        <w:jc w:val="left"/>
        <w:rPr>
          <w:rFonts w:ascii="宋体" w:hAnsi="宋体"/>
          <w:b/>
          <w:color w:val="000000"/>
          <w:sz w:val="28"/>
          <w:szCs w:val="28"/>
        </w:rPr>
      </w:pPr>
    </w:p>
    <w:tbl>
      <w:tblPr>
        <w:tblStyle w:val="7"/>
        <w:tblW w:w="10480" w:type="dxa"/>
        <w:tblInd w:w="0" w:type="dxa"/>
        <w:tblLayout w:type="fixed"/>
        <w:tblCellMar>
          <w:top w:w="0" w:type="dxa"/>
          <w:left w:w="108" w:type="dxa"/>
          <w:bottom w:w="0" w:type="dxa"/>
          <w:right w:w="108" w:type="dxa"/>
        </w:tblCellMar>
      </w:tblPr>
      <w:tblGrid>
        <w:gridCol w:w="370"/>
        <w:gridCol w:w="331"/>
        <w:gridCol w:w="301"/>
        <w:gridCol w:w="411"/>
        <w:gridCol w:w="51"/>
        <w:gridCol w:w="2477"/>
        <w:gridCol w:w="399"/>
        <w:gridCol w:w="633"/>
        <w:gridCol w:w="452"/>
        <w:gridCol w:w="461"/>
        <w:gridCol w:w="479"/>
        <w:gridCol w:w="432"/>
        <w:gridCol w:w="612"/>
        <w:gridCol w:w="531"/>
        <w:gridCol w:w="460"/>
        <w:gridCol w:w="495"/>
        <w:gridCol w:w="468"/>
        <w:gridCol w:w="372"/>
        <w:gridCol w:w="372"/>
        <w:gridCol w:w="373"/>
      </w:tblGrid>
      <w:tr>
        <w:tblPrEx>
          <w:tblCellMar>
            <w:top w:w="0" w:type="dxa"/>
            <w:left w:w="108" w:type="dxa"/>
            <w:bottom w:w="0" w:type="dxa"/>
            <w:right w:w="108" w:type="dxa"/>
          </w:tblCellMar>
        </w:tblPrEx>
        <w:trPr>
          <w:trHeight w:val="250" w:hRule="atLeast"/>
        </w:trPr>
        <w:tc>
          <w:tcPr>
            <w:tcW w:w="3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课程类别</w:t>
            </w:r>
          </w:p>
        </w:tc>
        <w:tc>
          <w:tcPr>
            <w:tcW w:w="6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课</w:t>
            </w:r>
            <w:r>
              <w:rPr>
                <w:rFonts w:ascii="宋体" w:hAnsi="宋体"/>
                <w:color w:val="000000"/>
                <w:sz w:val="16"/>
                <w:szCs w:val="16"/>
              </w:rPr>
              <w:t xml:space="preserve">   </w:t>
            </w:r>
            <w:r>
              <w:rPr>
                <w:rFonts w:hint="eastAsia" w:ascii="宋体" w:hAnsi="宋体"/>
                <w:color w:val="000000"/>
                <w:sz w:val="16"/>
                <w:szCs w:val="16"/>
              </w:rPr>
              <w:t>程</w:t>
            </w:r>
            <w:r>
              <w:rPr>
                <w:rFonts w:ascii="宋体" w:hAnsi="宋体"/>
                <w:color w:val="000000"/>
                <w:sz w:val="16"/>
                <w:szCs w:val="16"/>
              </w:rPr>
              <w:t xml:space="preserve">   </w:t>
            </w:r>
            <w:r>
              <w:rPr>
                <w:rFonts w:hint="eastAsia" w:ascii="宋体" w:hAnsi="宋体"/>
                <w:color w:val="000000"/>
                <w:sz w:val="16"/>
                <w:szCs w:val="16"/>
              </w:rPr>
              <w:t>类</w:t>
            </w:r>
            <w:r>
              <w:rPr>
                <w:rFonts w:ascii="宋体" w:hAnsi="宋体"/>
                <w:color w:val="000000"/>
                <w:sz w:val="16"/>
                <w:szCs w:val="16"/>
              </w:rPr>
              <w:t xml:space="preserve">   </w:t>
            </w:r>
            <w:r>
              <w:rPr>
                <w:rFonts w:hint="eastAsia" w:ascii="宋体" w:hAnsi="宋体"/>
                <w:color w:val="000000"/>
                <w:sz w:val="16"/>
                <w:szCs w:val="16"/>
              </w:rPr>
              <w:t>型</w:t>
            </w:r>
          </w:p>
        </w:tc>
        <w:tc>
          <w:tcPr>
            <w:tcW w:w="411"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jc w:val="center"/>
              <w:rPr>
                <w:rFonts w:ascii="宋体"/>
                <w:color w:val="000000"/>
                <w:sz w:val="16"/>
                <w:szCs w:val="16"/>
              </w:rPr>
            </w:pPr>
            <w:r>
              <w:rPr>
                <w:rFonts w:hint="eastAsia" w:ascii="宋体" w:hAnsi="宋体"/>
                <w:color w:val="000000"/>
                <w:sz w:val="16"/>
                <w:szCs w:val="16"/>
              </w:rPr>
              <w:t>序号</w:t>
            </w:r>
          </w:p>
        </w:tc>
        <w:tc>
          <w:tcPr>
            <w:tcW w:w="2528"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课程名称</w:t>
            </w:r>
          </w:p>
        </w:tc>
        <w:tc>
          <w:tcPr>
            <w:tcW w:w="39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学分</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总学时</w:t>
            </w:r>
          </w:p>
        </w:tc>
        <w:tc>
          <w:tcPr>
            <w:tcW w:w="5507" w:type="dxa"/>
            <w:gridSpan w:val="1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各学期周学时和实训实习安排</w:t>
            </w:r>
          </w:p>
        </w:tc>
      </w:tr>
      <w:tr>
        <w:tblPrEx>
          <w:tblCellMar>
            <w:top w:w="0" w:type="dxa"/>
            <w:left w:w="108" w:type="dxa"/>
            <w:bottom w:w="0" w:type="dxa"/>
            <w:right w:w="108" w:type="dxa"/>
          </w:tblCellMar>
        </w:tblPrEx>
        <w:trPr>
          <w:trHeight w:val="200"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4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52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9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1824"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第一学年</w:t>
            </w:r>
          </w:p>
        </w:tc>
        <w:tc>
          <w:tcPr>
            <w:tcW w:w="2098"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第二学年</w:t>
            </w:r>
          </w:p>
        </w:tc>
        <w:tc>
          <w:tcPr>
            <w:tcW w:w="1585"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第三学年</w:t>
            </w:r>
          </w:p>
        </w:tc>
      </w:tr>
      <w:tr>
        <w:tblPrEx>
          <w:tblCellMar>
            <w:top w:w="0" w:type="dxa"/>
            <w:left w:w="108" w:type="dxa"/>
            <w:bottom w:w="0" w:type="dxa"/>
            <w:right w:w="108" w:type="dxa"/>
          </w:tblCellMar>
        </w:tblPrEx>
        <w:trPr>
          <w:trHeight w:val="262"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4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52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9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913"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一</w:t>
            </w:r>
          </w:p>
        </w:tc>
        <w:tc>
          <w:tcPr>
            <w:tcW w:w="911"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二</w:t>
            </w:r>
          </w:p>
        </w:tc>
        <w:tc>
          <w:tcPr>
            <w:tcW w:w="1143"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三</w:t>
            </w:r>
          </w:p>
        </w:tc>
        <w:tc>
          <w:tcPr>
            <w:tcW w:w="955"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四</w:t>
            </w:r>
          </w:p>
        </w:tc>
        <w:tc>
          <w:tcPr>
            <w:tcW w:w="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五</w:t>
            </w:r>
          </w:p>
        </w:tc>
        <w:tc>
          <w:tcPr>
            <w:tcW w:w="745"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六</w:t>
            </w:r>
          </w:p>
        </w:tc>
      </w:tr>
      <w:tr>
        <w:tblPrEx>
          <w:tblCellMar>
            <w:top w:w="0" w:type="dxa"/>
            <w:left w:w="108" w:type="dxa"/>
            <w:bottom w:w="0" w:type="dxa"/>
            <w:right w:w="108" w:type="dxa"/>
          </w:tblCellMar>
        </w:tblPrEx>
        <w:trPr>
          <w:trHeight w:val="511"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4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528"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9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基础模块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公共基础课</w:t>
            </w: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1</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中国特色社会主义</w:t>
            </w:r>
            <w:r>
              <w:rPr>
                <w:rFonts w:hint="eastAsia" w:ascii="宋体"/>
                <w:color w:val="000000"/>
                <w:sz w:val="16"/>
                <w:szCs w:val="16"/>
                <w:lang w:eastAsia="zh-CN"/>
              </w:rPr>
              <w:t>）</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2</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心理健康与职业生涯</w:t>
            </w:r>
            <w:r>
              <w:rPr>
                <w:rFonts w:hint="eastAsia" w:ascii="宋体"/>
                <w:color w:val="000000"/>
                <w:sz w:val="16"/>
                <w:szCs w:val="16"/>
                <w:lang w:eastAsia="zh-CN"/>
              </w:rPr>
              <w:t>）</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3</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哲学与人生</w:t>
            </w:r>
            <w:r>
              <w:rPr>
                <w:rFonts w:hint="eastAsia" w:ascii="宋体"/>
                <w:color w:val="000000"/>
                <w:sz w:val="16"/>
                <w:szCs w:val="16"/>
                <w:lang w:eastAsia="zh-CN"/>
              </w:rPr>
              <w:t>）</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4</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职业道德与法治</w:t>
            </w:r>
            <w:r>
              <w:rPr>
                <w:rFonts w:hint="eastAsia" w:ascii="宋体"/>
                <w:color w:val="000000"/>
                <w:sz w:val="16"/>
                <w:szCs w:val="16"/>
                <w:lang w:eastAsia="zh-CN"/>
              </w:rPr>
              <w:t>）</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5</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color w:val="000000"/>
                <w:sz w:val="16"/>
                <w:szCs w:val="16"/>
                <w:lang w:eastAsia="zh-CN"/>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Ⅰ</w:t>
            </w:r>
            <w:r>
              <w:rPr>
                <w:rFonts w:hint="eastAsia" w:ascii="宋体" w:hAnsi="宋体"/>
                <w:color w:val="000000"/>
                <w:sz w:val="16"/>
                <w:szCs w:val="16"/>
                <w:lang w:eastAsia="zh-CN"/>
              </w:rPr>
              <w:t>）</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6</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Ⅱ</w:t>
            </w:r>
            <w:r>
              <w:rPr>
                <w:rFonts w:hint="eastAsia" w:ascii="宋体" w:hAnsi="宋体"/>
                <w:color w:val="000000"/>
                <w:sz w:val="16"/>
                <w:szCs w:val="16"/>
                <w:lang w:eastAsia="zh-CN"/>
              </w:rPr>
              <w:t>）</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7</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olor w:val="000000"/>
                <w:sz w:val="16"/>
                <w:szCs w:val="16"/>
                <w:lang w:val="en-US" w:eastAsia="zh-CN"/>
              </w:rPr>
            </w:pPr>
            <w:r>
              <w:rPr>
                <w:rFonts w:hint="eastAsia" w:ascii="宋体" w:hAnsi="宋体"/>
                <w:color w:val="000000"/>
                <w:sz w:val="16"/>
                <w:szCs w:val="16"/>
                <w:lang w:val="en-US" w:eastAsia="zh-CN"/>
              </w:rPr>
              <w:t>工匠精神</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8</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olor w:val="000000"/>
                <w:sz w:val="16"/>
                <w:szCs w:val="16"/>
                <w:lang w:val="en-US" w:eastAsia="zh-CN"/>
              </w:rPr>
            </w:pPr>
            <w:r>
              <w:rPr>
                <w:rFonts w:hint="eastAsia" w:ascii="宋体" w:hAnsi="宋体"/>
                <w:color w:val="000000"/>
                <w:sz w:val="16"/>
                <w:szCs w:val="16"/>
                <w:lang w:val="en-US" w:eastAsia="zh-CN"/>
              </w:rPr>
              <w:t>语文(职业模块)</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9</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中国历史</w:t>
            </w:r>
            <w:r>
              <w:rPr>
                <w:rFonts w:hint="eastAsia" w:ascii="宋体" w:hAnsi="宋体"/>
                <w:color w:val="000000"/>
                <w:sz w:val="16"/>
                <w:szCs w:val="16"/>
                <w:lang w:eastAsia="zh-CN"/>
              </w:rPr>
              <w:t>）</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10</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世界历史</w:t>
            </w:r>
            <w:r>
              <w:rPr>
                <w:rFonts w:hint="eastAsia" w:ascii="宋体" w:hAnsi="宋体"/>
                <w:color w:val="000000"/>
                <w:sz w:val="16"/>
                <w:szCs w:val="16"/>
                <w:lang w:eastAsia="zh-CN"/>
              </w:rPr>
              <w:t>）</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11</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计算机应用基础</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70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12</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化学</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13</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体育与健康</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14</w:t>
            </w:r>
          </w:p>
        </w:tc>
        <w:tc>
          <w:tcPr>
            <w:tcW w:w="252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劳动实践</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939"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39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44</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776</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16</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12</w:t>
            </w:r>
          </w:p>
        </w:tc>
        <w:tc>
          <w:tcPr>
            <w:tcW w:w="43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495"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46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专业基础课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营养与饲料</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380"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畜禽环境卫生</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5"/>
                <w:szCs w:val="15"/>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3</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动物解剖生理</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兽医微生物</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5</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淡水养鱼</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hint="default" w:ascii="宋体" w:hAnsi="宋体" w:eastAsia="宋体"/>
                <w:color w:val="000000"/>
                <w:sz w:val="16"/>
                <w:szCs w:val="16"/>
                <w:lang w:val="en-US" w:eastAsia="zh-CN"/>
              </w:rPr>
            </w:pPr>
            <w:r>
              <w:rPr>
                <w:rFonts w:hint="eastAsia" w:ascii="宋体" w:hAnsi="宋体"/>
                <w:color w:val="000000"/>
                <w:sz w:val="16"/>
                <w:szCs w:val="16"/>
                <w:lang w:val="en-US" w:eastAsia="zh-CN"/>
              </w:rPr>
              <w:t>4</w:t>
            </w:r>
          </w:p>
        </w:tc>
        <w:tc>
          <w:tcPr>
            <w:tcW w:w="43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hint="default" w:ascii="宋体" w:eastAsia="宋体"/>
                <w:sz w:val="16"/>
                <w:szCs w:val="16"/>
                <w:lang w:val="en-US" w:eastAsia="zh-CN"/>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939"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39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20</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348</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12</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43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495"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nil"/>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专业应用模块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专业核心课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477" w:type="dxa"/>
            <w:tcBorders>
              <w:top w:val="nil"/>
              <w:left w:val="nil"/>
              <w:bottom w:val="nil"/>
              <w:right w:val="nil"/>
            </w:tcBorders>
            <w:vAlign w:val="center"/>
          </w:tcPr>
          <w:p>
            <w:pPr>
              <w:widowControl/>
              <w:jc w:val="left"/>
              <w:rPr>
                <w:rFonts w:ascii="宋体"/>
                <w:color w:val="000000"/>
                <w:sz w:val="16"/>
                <w:szCs w:val="16"/>
              </w:rPr>
            </w:pPr>
            <w:r>
              <w:rPr>
                <w:rFonts w:hint="eastAsia" w:ascii="宋体"/>
                <w:color w:val="000000"/>
                <w:sz w:val="16"/>
                <w:szCs w:val="16"/>
              </w:rPr>
              <w:t>兽医外科与外科手术学</w:t>
            </w:r>
          </w:p>
        </w:tc>
        <w:tc>
          <w:tcPr>
            <w:tcW w:w="399" w:type="dxa"/>
            <w:tcBorders>
              <w:top w:val="nil"/>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477" w:type="dxa"/>
            <w:tcBorders>
              <w:top w:val="single" w:color="auto" w:sz="4" w:space="0"/>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兽医临床诊断</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rPr>
                <w:sz w:val="16"/>
                <w:szCs w:val="16"/>
              </w:rPr>
            </w:pP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sz w:val="16"/>
                <w:szCs w:val="16"/>
              </w:rPr>
            </w:pPr>
            <w:r>
              <w:rPr>
                <w:rFonts w:hint="eastAsia"/>
                <w:sz w:val="16"/>
                <w:szCs w:val="16"/>
              </w:rPr>
              <w:t>4</w:t>
            </w:r>
          </w:p>
        </w:tc>
        <w:tc>
          <w:tcPr>
            <w:tcW w:w="432" w:type="dxa"/>
            <w:tcBorders>
              <w:top w:val="single" w:color="auto" w:sz="4" w:space="0"/>
              <w:left w:val="nil"/>
              <w:bottom w:val="single" w:color="auto" w:sz="4" w:space="0"/>
              <w:right w:val="nil"/>
            </w:tcBorders>
            <w:vAlign w:val="center"/>
          </w:tcPr>
          <w:p>
            <w:pPr>
              <w:rPr>
                <w:sz w:val="16"/>
                <w:szCs w:val="16"/>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16"/>
                <w:szCs w:val="16"/>
              </w:rPr>
            </w:pPr>
          </w:p>
        </w:tc>
        <w:tc>
          <w:tcPr>
            <w:tcW w:w="531" w:type="dxa"/>
            <w:tcBorders>
              <w:top w:val="nil"/>
              <w:left w:val="nil"/>
              <w:bottom w:val="single" w:color="auto" w:sz="4" w:space="0"/>
              <w:right w:val="single" w:color="auto" w:sz="4" w:space="0"/>
            </w:tcBorders>
            <w:vAlign w:val="center"/>
          </w:tcPr>
          <w:p>
            <w:pPr>
              <w:rPr>
                <w:sz w:val="16"/>
                <w:szCs w:val="16"/>
              </w:rPr>
            </w:pPr>
          </w:p>
        </w:tc>
        <w:tc>
          <w:tcPr>
            <w:tcW w:w="460" w:type="dxa"/>
            <w:tcBorders>
              <w:top w:val="nil"/>
              <w:left w:val="nil"/>
              <w:bottom w:val="single" w:color="auto" w:sz="4" w:space="0"/>
              <w:right w:val="single" w:color="auto" w:sz="4" w:space="0"/>
            </w:tcBorders>
            <w:vAlign w:val="center"/>
          </w:tcPr>
          <w:p>
            <w:pPr>
              <w:jc w:val="center"/>
              <w:rPr>
                <w:sz w:val="16"/>
                <w:szCs w:val="16"/>
              </w:rPr>
            </w:pPr>
          </w:p>
        </w:tc>
        <w:tc>
          <w:tcPr>
            <w:tcW w:w="495" w:type="dxa"/>
            <w:tcBorders>
              <w:top w:val="nil"/>
              <w:left w:val="nil"/>
              <w:bottom w:val="single" w:color="auto" w:sz="4" w:space="0"/>
              <w:right w:val="single" w:color="auto" w:sz="4" w:space="0"/>
            </w:tcBorders>
            <w:vAlign w:val="center"/>
          </w:tcPr>
          <w:p>
            <w:pPr>
              <w:widowControl/>
              <w:jc w:val="left"/>
              <w:rPr>
                <w:rFonts w:ascii="宋体" w:hAnsi="宋体"/>
                <w:b/>
                <w:bCs/>
                <w:sz w:val="16"/>
                <w:szCs w:val="16"/>
                <w:u w:val="wave"/>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477" w:type="dxa"/>
            <w:tcBorders>
              <w:top w:val="single" w:color="auto" w:sz="4" w:space="0"/>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养猪及猪病防治</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144</w:t>
            </w:r>
          </w:p>
        </w:tc>
        <w:tc>
          <w:tcPr>
            <w:tcW w:w="452"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single" w:color="auto" w:sz="4" w:space="0"/>
              <w:left w:val="nil"/>
              <w:bottom w:val="nil"/>
              <w:right w:val="nil"/>
            </w:tcBorders>
            <w:vAlign w:val="center"/>
          </w:tcPr>
          <w:p>
            <w:pPr>
              <w:widowControl/>
              <w:jc w:val="center"/>
              <w:rPr>
                <w:rFonts w:ascii="宋体"/>
                <w:sz w:val="16"/>
                <w:szCs w:val="16"/>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sz w:val="16"/>
                <w:szCs w:val="16"/>
              </w:rPr>
              <w:t>4</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养禽及禽病防治</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144</w:t>
            </w:r>
          </w:p>
        </w:tc>
        <w:tc>
          <w:tcPr>
            <w:tcW w:w="452"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32" w:type="dxa"/>
            <w:tcBorders>
              <w:top w:val="single" w:color="auto" w:sz="4" w:space="0"/>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sz w:val="16"/>
                <w:szCs w:val="16"/>
              </w:rPr>
              <w:t>4</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00"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5</w:t>
            </w:r>
          </w:p>
        </w:tc>
        <w:tc>
          <w:tcPr>
            <w:tcW w:w="2477" w:type="dxa"/>
            <w:tcBorders>
              <w:top w:val="nil"/>
              <w:left w:val="nil"/>
              <w:bottom w:val="single" w:color="auto" w:sz="4" w:space="0"/>
              <w:right w:val="single" w:color="auto" w:sz="4" w:space="0"/>
            </w:tcBorders>
            <w:vAlign w:val="center"/>
          </w:tcPr>
          <w:p>
            <w:pPr>
              <w:widowControl/>
              <w:jc w:val="left"/>
              <w:rPr>
                <w:rFonts w:hint="eastAsia" w:ascii="宋体"/>
                <w:color w:val="000000"/>
                <w:sz w:val="16"/>
                <w:szCs w:val="16"/>
              </w:rPr>
            </w:pPr>
            <w:r>
              <w:rPr>
                <w:rFonts w:hint="eastAsia" w:ascii="宋体"/>
                <w:color w:val="000000"/>
                <w:sz w:val="16"/>
                <w:szCs w:val="16"/>
              </w:rPr>
              <w:t>兽医药理学</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asci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sz w:val="16"/>
                <w:szCs w:val="16"/>
              </w:rPr>
              <w:t>4</w:t>
            </w:r>
          </w:p>
        </w:tc>
        <w:tc>
          <w:tcPr>
            <w:tcW w:w="43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r>
      <w:tr>
        <w:tblPrEx>
          <w:tblCellMar>
            <w:top w:w="0" w:type="dxa"/>
            <w:left w:w="108" w:type="dxa"/>
            <w:bottom w:w="0" w:type="dxa"/>
            <w:right w:w="108" w:type="dxa"/>
          </w:tblCellMar>
        </w:tblPrEx>
        <w:trPr>
          <w:trHeight w:val="214"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16"/>
                <w:szCs w:val="16"/>
              </w:rPr>
            </w:pPr>
            <w:r>
              <w:rPr>
                <w:rFonts w:hint="eastAsia" w:ascii="宋体" w:hAnsi="宋体"/>
                <w:color w:val="000000"/>
                <w:sz w:val="16"/>
                <w:szCs w:val="16"/>
              </w:rPr>
              <w:t>6</w:t>
            </w:r>
          </w:p>
        </w:tc>
        <w:tc>
          <w:tcPr>
            <w:tcW w:w="2477" w:type="dxa"/>
            <w:tcBorders>
              <w:top w:val="single" w:color="auto" w:sz="4" w:space="0"/>
              <w:left w:val="nil"/>
              <w:bottom w:val="single" w:color="auto" w:sz="4" w:space="0"/>
              <w:right w:val="single" w:color="auto" w:sz="4" w:space="0"/>
            </w:tcBorders>
            <w:vAlign w:val="center"/>
          </w:tcPr>
          <w:p>
            <w:pPr>
              <w:jc w:val="left"/>
              <w:rPr>
                <w:rFonts w:hint="eastAsia" w:ascii="宋体"/>
                <w:color w:val="000000"/>
                <w:sz w:val="16"/>
                <w:szCs w:val="16"/>
              </w:rPr>
            </w:pPr>
            <w:r>
              <w:rPr>
                <w:rFonts w:hint="eastAsia" w:ascii="宋体"/>
                <w:color w:val="000000"/>
                <w:sz w:val="16"/>
                <w:szCs w:val="16"/>
              </w:rPr>
              <w:t>动物病理学</w:t>
            </w:r>
          </w:p>
        </w:tc>
        <w:tc>
          <w:tcPr>
            <w:tcW w:w="399" w:type="dxa"/>
            <w:tcBorders>
              <w:top w:val="single" w:color="auto" w:sz="4" w:space="0"/>
              <w:left w:val="nil"/>
              <w:bottom w:val="single" w:color="auto" w:sz="4" w:space="0"/>
              <w:right w:val="single" w:color="auto" w:sz="4" w:space="0"/>
            </w:tcBorders>
            <w:vAlign w:val="center"/>
          </w:tcPr>
          <w:p>
            <w:pPr>
              <w:jc w:val="center"/>
              <w:rPr>
                <w:rFonts w:hint="eastAsia" w:ascii="宋体"/>
                <w:color w:val="000000"/>
                <w:sz w:val="16"/>
                <w:szCs w:val="16"/>
              </w:rPr>
            </w:pPr>
            <w:r>
              <w:rPr>
                <w:rFonts w:hint="eastAsia" w:ascii="宋体"/>
                <w:color w:val="000000"/>
                <w:sz w:val="16"/>
                <w:szCs w:val="16"/>
              </w:rPr>
              <w:t>4</w:t>
            </w:r>
          </w:p>
        </w:tc>
        <w:tc>
          <w:tcPr>
            <w:tcW w:w="633" w:type="dxa"/>
            <w:tcBorders>
              <w:top w:val="single" w:color="auto" w:sz="4" w:space="0"/>
              <w:left w:val="nil"/>
              <w:bottom w:val="single" w:color="auto" w:sz="4" w:space="0"/>
              <w:right w:val="single" w:color="auto" w:sz="4" w:space="0"/>
            </w:tcBorders>
            <w:vAlign w:val="center"/>
          </w:tcPr>
          <w:p>
            <w:pPr>
              <w:jc w:val="center"/>
              <w:rPr>
                <w:rFonts w:hint="eastAsia" w:ascii="宋体"/>
                <w:color w:val="000000"/>
                <w:sz w:val="16"/>
                <w:szCs w:val="16"/>
              </w:rPr>
            </w:pPr>
            <w:r>
              <w:rPr>
                <w:rFonts w:hint="eastAsia" w:ascii="宋体"/>
                <w:color w:val="000000"/>
                <w:sz w:val="16"/>
                <w:szCs w:val="16"/>
              </w:rPr>
              <w:t>7</w:t>
            </w:r>
            <w:r>
              <w:rPr>
                <w:rFonts w:ascii="宋体"/>
                <w:color w:val="000000"/>
                <w:sz w:val="16"/>
                <w:szCs w:val="16"/>
              </w:rPr>
              <w:t>2</w:t>
            </w:r>
          </w:p>
        </w:tc>
        <w:tc>
          <w:tcPr>
            <w:tcW w:w="452" w:type="dxa"/>
            <w:tcBorders>
              <w:top w:val="single" w:color="auto" w:sz="4" w:space="0"/>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single" w:color="auto" w:sz="4" w:space="0"/>
              <w:left w:val="nil"/>
              <w:bottom w:val="single" w:color="auto" w:sz="4" w:space="0"/>
              <w:right w:val="single" w:color="auto" w:sz="4" w:space="0"/>
            </w:tcBorders>
            <w:vAlign w:val="center"/>
          </w:tcPr>
          <w:p>
            <w:pPr>
              <w:jc w:val="center"/>
              <w:rPr>
                <w:rFonts w:hint="eastAsia" w:ascii="宋体"/>
                <w:sz w:val="16"/>
                <w:szCs w:val="16"/>
              </w:rPr>
            </w:pPr>
          </w:p>
        </w:tc>
        <w:tc>
          <w:tcPr>
            <w:tcW w:w="432" w:type="dxa"/>
            <w:tcBorders>
              <w:top w:val="single" w:color="auto" w:sz="4" w:space="0"/>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16"/>
                <w:szCs w:val="16"/>
              </w:rPr>
            </w:pPr>
            <w:r>
              <w:rPr>
                <w:rFonts w:hint="eastAsia" w:ascii="宋体" w:hAnsi="宋体"/>
                <w:sz w:val="16"/>
                <w:szCs w:val="16"/>
              </w:rPr>
              <w:t>4</w:t>
            </w:r>
          </w:p>
        </w:tc>
        <w:tc>
          <w:tcPr>
            <w:tcW w:w="531" w:type="dxa"/>
            <w:tcBorders>
              <w:top w:val="single" w:color="auto" w:sz="4" w:space="0"/>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single" w:color="auto" w:sz="4" w:space="0"/>
              <w:left w:val="nil"/>
              <w:bottom w:val="single" w:color="auto" w:sz="4" w:space="0"/>
              <w:right w:val="single" w:color="auto" w:sz="4" w:space="0"/>
            </w:tcBorders>
            <w:vAlign w:val="center"/>
          </w:tcPr>
          <w:p>
            <w:pPr>
              <w:widowControl/>
              <w:jc w:val="center"/>
              <w:rPr>
                <w:rFonts w:ascii="宋体"/>
                <w:sz w:val="16"/>
                <w:szCs w:val="16"/>
              </w:rPr>
            </w:pPr>
          </w:p>
        </w:tc>
        <w:tc>
          <w:tcPr>
            <w:tcW w:w="495"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16"/>
                <w:szCs w:val="16"/>
              </w:rPr>
            </w:pPr>
            <w:r>
              <w:rPr>
                <w:rFonts w:hint="eastAsia" w:ascii="宋体" w:hAnsi="宋体"/>
                <w:color w:val="000000"/>
                <w:sz w:val="16"/>
                <w:szCs w:val="16"/>
              </w:rPr>
              <w:t>　</w:t>
            </w:r>
          </w:p>
        </w:tc>
        <w:tc>
          <w:tcPr>
            <w:tcW w:w="37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7</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宠物饲养及疾病诊疗技术</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8</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动物传染病</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sz w:val="16"/>
                <w:szCs w:val="16"/>
              </w:rPr>
              <w:t>4</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9</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畜牧业经营管理</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sz w:val="16"/>
                <w:szCs w:val="16"/>
              </w:rPr>
              <w:t>4</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10</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宠物美容</w:t>
            </w:r>
          </w:p>
        </w:tc>
        <w:tc>
          <w:tcPr>
            <w:tcW w:w="39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sz w:val="16"/>
                <w:szCs w:val="16"/>
              </w:rPr>
              <w:t>4</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939"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39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48</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864</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0</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43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61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hAnsi="宋体"/>
                <w:sz w:val="16"/>
                <w:szCs w:val="16"/>
              </w:rPr>
              <w:t>20</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hAnsi="宋体"/>
                <w:sz w:val="16"/>
                <w:szCs w:val="16"/>
              </w:rPr>
              <w:t>20</w:t>
            </w:r>
          </w:p>
        </w:tc>
        <w:tc>
          <w:tcPr>
            <w:tcW w:w="495"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6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实践课程模块</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入学教育与军训</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3"/>
                <w:szCs w:val="13"/>
              </w:rPr>
              <w:t>1周</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职业资格证书考核</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52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1周</w:t>
            </w: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顶岗实习</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56</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1008</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1585" w:type="dxa"/>
            <w:gridSpan w:val="4"/>
            <w:tcBorders>
              <w:top w:val="single" w:color="auto" w:sz="4" w:space="0"/>
              <w:left w:val="nil"/>
              <w:bottom w:val="single" w:color="auto"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顶岗实习</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477"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毕业教育</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1天</w:t>
            </w:r>
          </w:p>
        </w:tc>
        <w:tc>
          <w:tcPr>
            <w:tcW w:w="46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2477" w:type="dxa"/>
            <w:tcBorders>
              <w:top w:val="nil"/>
              <w:left w:val="nil"/>
              <w:bottom w:val="single" w:color="auto" w:sz="4" w:space="0"/>
              <w:right w:val="single" w:color="auto" w:sz="4" w:space="0"/>
            </w:tcBorders>
            <w:shd w:val="clear" w:color="000000" w:fill="CCCCFF"/>
            <w:vAlign w:val="center"/>
          </w:tcPr>
          <w:p>
            <w:pPr>
              <w:widowControl/>
              <w:jc w:val="left"/>
              <w:rPr>
                <w:rFonts w:ascii="宋体"/>
                <w:color w:val="000000"/>
                <w:sz w:val="16"/>
                <w:szCs w:val="16"/>
              </w:rPr>
            </w:pPr>
            <w:r>
              <w:rPr>
                <w:rFonts w:hint="eastAsia" w:ascii="宋体" w:hAnsi="宋体" w:cs="宋体"/>
                <w:kern w:val="0"/>
                <w:sz w:val="16"/>
                <w:szCs w:val="16"/>
              </w:rPr>
              <w:t>小计</w:t>
            </w:r>
          </w:p>
        </w:tc>
        <w:tc>
          <w:tcPr>
            <w:tcW w:w="39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59</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1092</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3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61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495"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46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restart"/>
            <w:tcBorders>
              <w:top w:val="nil"/>
              <w:left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331" w:type="dxa"/>
            <w:vMerge w:val="restart"/>
            <w:tcBorders>
              <w:top w:val="single" w:color="auto" w:sz="4" w:space="0"/>
              <w:left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01" w:type="dxa"/>
            <w:vMerge w:val="restart"/>
            <w:tcBorders>
              <w:top w:val="single" w:color="auto" w:sz="4" w:space="0"/>
              <w:left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限修课　</w:t>
            </w: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w:t>
            </w:r>
          </w:p>
        </w:tc>
        <w:tc>
          <w:tcPr>
            <w:tcW w:w="2477" w:type="dxa"/>
            <w:tcBorders>
              <w:top w:val="nil"/>
              <w:left w:val="nil"/>
              <w:bottom w:val="single" w:color="auto" w:sz="4" w:space="0"/>
              <w:right w:val="single" w:color="auto" w:sz="4" w:space="0"/>
            </w:tcBorders>
            <w:vAlign w:val="center"/>
          </w:tcPr>
          <w:p>
            <w:pPr>
              <w:widowControl/>
              <w:spacing w:line="10" w:lineRule="atLeast"/>
              <w:jc w:val="left"/>
              <w:rPr>
                <w:rFonts w:ascii="宋体"/>
                <w:sz w:val="16"/>
                <w:szCs w:val="16"/>
              </w:rPr>
            </w:pPr>
            <w:r>
              <w:rPr>
                <w:rFonts w:hint="eastAsia" w:ascii="宋体" w:hAnsi="宋体" w:cs="宋体"/>
                <w:kern w:val="0"/>
                <w:sz w:val="16"/>
                <w:szCs w:val="16"/>
              </w:rPr>
              <w:t>劳模精神工匠精神作品研读</w:t>
            </w:r>
          </w:p>
        </w:tc>
        <w:tc>
          <w:tcPr>
            <w:tcW w:w="39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2</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36</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3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95" w:type="dxa"/>
            <w:tcBorders>
              <w:top w:val="nil"/>
              <w:left w:val="nil"/>
              <w:bottom w:val="single" w:color="auto" w:sz="4" w:space="0"/>
              <w:right w:val="single" w:color="auto" w:sz="4" w:space="0"/>
            </w:tcBorders>
            <w:vAlign w:val="center"/>
          </w:tcPr>
          <w:p>
            <w:pPr>
              <w:widowControl/>
              <w:spacing w:line="10" w:lineRule="atLeast"/>
              <w:jc w:val="center"/>
              <w:rPr>
                <w:rFonts w:ascii="宋体"/>
                <w:sz w:val="16"/>
                <w:szCs w:val="16"/>
              </w:rPr>
            </w:pPr>
            <w:r>
              <w:rPr>
                <w:rFonts w:hint="eastAsia" w:ascii="宋体" w:hAnsi="宋体"/>
                <w:sz w:val="16"/>
                <w:szCs w:val="16"/>
              </w:rPr>
              <w:t>　</w:t>
            </w:r>
          </w:p>
        </w:tc>
        <w:tc>
          <w:tcPr>
            <w:tcW w:w="468"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31"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01"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2</w:t>
            </w:r>
          </w:p>
        </w:tc>
        <w:tc>
          <w:tcPr>
            <w:tcW w:w="2477" w:type="dxa"/>
            <w:tcBorders>
              <w:top w:val="nil"/>
              <w:left w:val="nil"/>
              <w:bottom w:val="single" w:color="auto" w:sz="4" w:space="0"/>
              <w:right w:val="single" w:color="auto" w:sz="4" w:space="0"/>
            </w:tcBorders>
            <w:vAlign w:val="center"/>
          </w:tcPr>
          <w:p>
            <w:pPr>
              <w:widowControl/>
              <w:spacing w:line="10" w:lineRule="atLeast"/>
              <w:jc w:val="left"/>
              <w:rPr>
                <w:rFonts w:ascii="宋体" w:hAnsi="宋体"/>
                <w:color w:val="000000"/>
                <w:sz w:val="16"/>
                <w:szCs w:val="16"/>
              </w:rPr>
            </w:pPr>
            <w:r>
              <w:rPr>
                <w:rFonts w:hint="eastAsia" w:ascii="宋体" w:hAnsi="宋体" w:cs="宋体"/>
                <w:kern w:val="0"/>
                <w:sz w:val="16"/>
                <w:szCs w:val="16"/>
              </w:rPr>
              <w:t>职业教育与社会发展</w:t>
            </w:r>
          </w:p>
        </w:tc>
        <w:tc>
          <w:tcPr>
            <w:tcW w:w="39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18</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3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61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95"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8"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939" w:type="dxa"/>
            <w:gridSpan w:val="3"/>
            <w:tcBorders>
              <w:top w:val="single" w:color="auto" w:sz="4" w:space="0"/>
              <w:left w:val="single" w:color="auto" w:sz="4" w:space="0"/>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39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54</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3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61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FF0000"/>
                <w:sz w:val="16"/>
                <w:szCs w:val="16"/>
              </w:rPr>
            </w:pPr>
          </w:p>
        </w:tc>
        <w:tc>
          <w:tcPr>
            <w:tcW w:w="495"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468"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941" w:type="dxa"/>
            <w:gridSpan w:val="6"/>
            <w:tcBorders>
              <w:top w:val="nil"/>
              <w:left w:val="single" w:color="auto" w:sz="4" w:space="0"/>
              <w:bottom w:val="single" w:color="auto" w:sz="4" w:space="0"/>
              <w:right w:val="single" w:color="000000" w:sz="4" w:space="0"/>
            </w:tcBorders>
            <w:vAlign w:val="center"/>
          </w:tcPr>
          <w:p>
            <w:pPr>
              <w:widowControl/>
              <w:jc w:val="center"/>
              <w:rPr>
                <w:rFonts w:ascii="宋体" w:hAnsi="宋体"/>
                <w:sz w:val="16"/>
                <w:szCs w:val="16"/>
              </w:rPr>
            </w:pPr>
            <w:r>
              <w:rPr>
                <w:rFonts w:hint="eastAsia" w:ascii="宋体" w:hAnsi="宋体"/>
                <w:sz w:val="16"/>
                <w:szCs w:val="16"/>
              </w:rPr>
              <w:t>合计</w:t>
            </w:r>
          </w:p>
        </w:tc>
        <w:tc>
          <w:tcPr>
            <w:tcW w:w="39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175</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3134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hint="default" w:ascii="宋体" w:hAnsi="宋体" w:eastAsia="宋体"/>
                <w:color w:val="000000"/>
                <w:sz w:val="16"/>
                <w:szCs w:val="16"/>
                <w:lang w:val="en-US" w:eastAsia="zh-CN"/>
              </w:rPr>
            </w:pPr>
            <w:r>
              <w:rPr>
                <w:rFonts w:hint="eastAsia" w:ascii="宋体" w:hAnsi="宋体" w:cs="宋体"/>
                <w:kern w:val="0"/>
                <w:sz w:val="16"/>
                <w:szCs w:val="16"/>
                <w:lang w:val="en-US" w:eastAsia="zh-CN"/>
              </w:rPr>
              <w:t>28</w:t>
            </w:r>
          </w:p>
        </w:tc>
        <w:tc>
          <w:tcPr>
            <w:tcW w:w="43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61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hint="default" w:ascii="宋体" w:hAnsi="宋体" w:eastAsia="宋体"/>
                <w:color w:val="000000"/>
                <w:sz w:val="16"/>
                <w:szCs w:val="16"/>
                <w:lang w:val="en-US" w:eastAsia="zh-CN"/>
              </w:rPr>
            </w:pPr>
            <w:r>
              <w:rPr>
                <w:rFonts w:hint="eastAsia" w:ascii="宋体" w:hAnsi="宋体" w:cs="宋体"/>
                <w:kern w:val="0"/>
                <w:sz w:val="16"/>
                <w:szCs w:val="16"/>
                <w:lang w:val="en-US" w:eastAsia="zh-CN"/>
              </w:rPr>
              <w:t>28</w:t>
            </w:r>
          </w:p>
        </w:tc>
        <w:tc>
          <w:tcPr>
            <w:tcW w:w="495"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sz w:val="16"/>
                <w:szCs w:val="16"/>
              </w:rPr>
            </w:pPr>
          </w:p>
        </w:tc>
      </w:tr>
    </w:tbl>
    <w:p>
      <w:pPr>
        <w:spacing w:line="360" w:lineRule="auto"/>
        <w:jc w:val="left"/>
        <w:rPr>
          <w:rFonts w:ascii="宋体" w:hAnsi="宋体"/>
          <w:b/>
          <w:color w:val="000000"/>
          <w:sz w:val="28"/>
          <w:szCs w:val="28"/>
        </w:rPr>
      </w:pPr>
    </w:p>
    <w:p>
      <w:pPr>
        <w:spacing w:line="360" w:lineRule="auto"/>
        <w:jc w:val="left"/>
        <w:rPr>
          <w:b/>
          <w:sz w:val="28"/>
          <w:szCs w:val="28"/>
        </w:rPr>
      </w:pPr>
      <w:r>
        <w:rPr>
          <w:rFonts w:hint="eastAsia" w:ascii="宋体" w:hAnsi="宋体"/>
          <w:b/>
          <w:color w:val="000000"/>
          <w:sz w:val="28"/>
          <w:szCs w:val="28"/>
          <w:lang w:val="en-US" w:eastAsia="zh-CN"/>
        </w:rPr>
        <w:t>九</w:t>
      </w:r>
      <w:r>
        <w:rPr>
          <w:rFonts w:hint="eastAsia" w:ascii="宋体" w:hAnsi="宋体"/>
          <w:b/>
          <w:color w:val="000000"/>
          <w:sz w:val="28"/>
          <w:szCs w:val="28"/>
        </w:rPr>
        <w:t>、</w:t>
      </w:r>
      <w:r>
        <w:rPr>
          <w:rFonts w:hint="eastAsia"/>
          <w:b/>
          <w:sz w:val="28"/>
          <w:szCs w:val="28"/>
        </w:rPr>
        <w:t>成绩考核</w:t>
      </w:r>
    </w:p>
    <w:p>
      <w:pPr>
        <w:pStyle w:val="3"/>
      </w:pPr>
      <w:r>
        <w:t>（一）</w:t>
      </w:r>
      <w:r>
        <w:rPr>
          <w:rFonts w:hint="eastAsia"/>
        </w:rPr>
        <w:t>课程教学考核</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考试课程</w:t>
      </w:r>
      <w:r>
        <w:rPr>
          <w:rFonts w:hint="eastAsia" w:ascii="宋体" w:hAnsi="宋体"/>
          <w:sz w:val="24"/>
        </w:rPr>
        <w:t>：</w:t>
      </w:r>
      <w:r>
        <w:rPr>
          <w:rFonts w:ascii="宋体" w:hAnsi="宋体"/>
          <w:sz w:val="24"/>
        </w:rPr>
        <w:t>学习成绩是根据学生期末考试成绩和平时成绩（包括平时考勤</w:t>
      </w:r>
      <w:r>
        <w:rPr>
          <w:rFonts w:hint="eastAsia" w:ascii="宋体" w:hAnsi="宋体"/>
          <w:sz w:val="24"/>
        </w:rPr>
        <w:t>、</w:t>
      </w:r>
      <w:r>
        <w:rPr>
          <w:rFonts w:ascii="宋体" w:hAnsi="宋体"/>
          <w:sz w:val="24"/>
        </w:rPr>
        <w:t>完成实验</w:t>
      </w:r>
      <w:r>
        <w:rPr>
          <w:rFonts w:hint="eastAsia" w:ascii="宋体" w:hAnsi="宋体"/>
          <w:sz w:val="24"/>
        </w:rPr>
        <w:t>、</w:t>
      </w:r>
      <w:r>
        <w:rPr>
          <w:rFonts w:ascii="宋体" w:hAnsi="宋体"/>
          <w:sz w:val="24"/>
        </w:rPr>
        <w:t>课外作业</w:t>
      </w:r>
      <w:r>
        <w:rPr>
          <w:rFonts w:hint="eastAsia" w:ascii="宋体" w:hAnsi="宋体"/>
          <w:sz w:val="24"/>
        </w:rPr>
        <w:t>、</w:t>
      </w:r>
      <w:r>
        <w:rPr>
          <w:rFonts w:ascii="宋体" w:hAnsi="宋体"/>
          <w:sz w:val="24"/>
        </w:rPr>
        <w:t>课堂讨论</w:t>
      </w:r>
      <w:r>
        <w:rPr>
          <w:rFonts w:hint="eastAsia" w:ascii="宋体" w:hAnsi="宋体"/>
          <w:sz w:val="24"/>
        </w:rPr>
        <w:t>、</w:t>
      </w:r>
      <w:r>
        <w:rPr>
          <w:rFonts w:ascii="宋体" w:hAnsi="宋体"/>
          <w:sz w:val="24"/>
        </w:rPr>
        <w:t>平时测验等）综合评定。</w:t>
      </w:r>
      <w:r>
        <w:rPr>
          <w:rFonts w:hint="eastAsia" w:ascii="宋体" w:hAnsi="宋体"/>
          <w:sz w:val="24"/>
        </w:rPr>
        <w:t>对于有实践教学的课程，实践教学部分单独评定成绩。</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考查课程</w:t>
      </w:r>
      <w:r>
        <w:rPr>
          <w:rFonts w:hint="eastAsia" w:ascii="宋体" w:hAnsi="宋体"/>
          <w:sz w:val="24"/>
        </w:rPr>
        <w:t>：</w:t>
      </w:r>
      <w:r>
        <w:rPr>
          <w:rFonts w:ascii="宋体" w:hAnsi="宋体"/>
          <w:sz w:val="24"/>
        </w:rPr>
        <w:t>学习成绩</w:t>
      </w:r>
      <w:r>
        <w:rPr>
          <w:rFonts w:hint="eastAsia" w:ascii="宋体" w:hAnsi="宋体"/>
          <w:sz w:val="24"/>
        </w:rPr>
        <w:t>根据平时成绩和阶段性测验成绩</w:t>
      </w:r>
      <w:r>
        <w:rPr>
          <w:rFonts w:ascii="宋体" w:hAnsi="宋体"/>
          <w:sz w:val="24"/>
        </w:rPr>
        <w:t>综合</w:t>
      </w:r>
      <w:r>
        <w:rPr>
          <w:rFonts w:hint="eastAsia" w:ascii="宋体" w:hAnsi="宋体"/>
          <w:sz w:val="24"/>
        </w:rPr>
        <w:t>评定。平时成绩可根据学生出勤、听课、作业、课堂讨论等情况评定。</w:t>
      </w:r>
    </w:p>
    <w:p>
      <w:pPr>
        <w:pStyle w:val="3"/>
      </w:pPr>
      <w:r>
        <w:t>（二）</w:t>
      </w:r>
      <w:r>
        <w:rPr>
          <w:rFonts w:hint="eastAsia"/>
        </w:rPr>
        <w:t>实践教学环节课程考核</w:t>
      </w:r>
    </w:p>
    <w:p>
      <w:pPr>
        <w:spacing w:line="360" w:lineRule="auto"/>
        <w:ind w:firstLine="465" w:firstLineChars="194"/>
        <w:rPr>
          <w:rFonts w:ascii="宋体" w:hAnsi="宋体"/>
          <w:sz w:val="24"/>
        </w:rPr>
      </w:pPr>
      <w:r>
        <w:rPr>
          <w:rFonts w:hint="eastAsia" w:ascii="宋体" w:hAnsi="宋体"/>
          <w:sz w:val="24"/>
        </w:rPr>
        <w:t>1.学生按照实训实习或专业化实训实习（综合实训实习或课程设计）大纲要求完成每项实训实习项目后，撰写实训实习报告，由任课教师批改后，凡评定成绩达到合格及以上标准的可获得该项目规定的学分。</w:t>
      </w:r>
    </w:p>
    <w:p>
      <w:pPr>
        <w:spacing w:line="360" w:lineRule="auto"/>
        <w:ind w:firstLine="465" w:firstLineChars="194"/>
        <w:rPr>
          <w:rFonts w:ascii="宋体" w:hAnsi="宋体"/>
          <w:sz w:val="24"/>
        </w:rPr>
      </w:pPr>
      <w:r>
        <w:rPr>
          <w:rFonts w:hint="eastAsia" w:ascii="宋体" w:hAnsi="宋体"/>
          <w:sz w:val="24"/>
        </w:rPr>
        <w:t>2.实践技能考核项目：学生依据教务科制定的实践技能考核项目考核标准，在规定的学期内组织考核，考核结束后，凡考核合格者可获得该项目规定的学分。</w:t>
      </w:r>
    </w:p>
    <w:p>
      <w:pPr>
        <w:spacing w:line="360" w:lineRule="auto"/>
        <w:ind w:firstLine="465" w:firstLineChars="194"/>
        <w:rPr>
          <w:rFonts w:ascii="宋体" w:hAnsi="宋体"/>
          <w:sz w:val="24"/>
        </w:rPr>
      </w:pPr>
      <w:r>
        <w:rPr>
          <w:rFonts w:hint="eastAsia" w:ascii="宋体" w:hAnsi="宋体"/>
          <w:sz w:val="24"/>
        </w:rPr>
        <w:t>3.毕业论文（设计）</w:t>
      </w:r>
    </w:p>
    <w:p>
      <w:pPr>
        <w:spacing w:line="360" w:lineRule="auto"/>
        <w:ind w:firstLine="465" w:firstLineChars="194"/>
        <w:rPr>
          <w:rFonts w:ascii="宋体" w:hAnsi="宋体"/>
          <w:sz w:val="24"/>
        </w:rPr>
      </w:pPr>
      <w:r>
        <w:rPr>
          <w:rFonts w:ascii="宋体" w:hAnsi="宋体"/>
          <w:sz w:val="24"/>
        </w:rPr>
        <w:t>毕业论文(设计)是学生在校学习期间最后一个综合性实践教学环节，是实践教学的重要组成部分。</w:t>
      </w:r>
      <w:r>
        <w:rPr>
          <w:rFonts w:hint="eastAsia" w:ascii="宋体" w:hAnsi="宋体"/>
          <w:sz w:val="24"/>
        </w:rPr>
        <w:t>本专业每名同学在指导教师的指导下，撰写本专业的毕业论文（设计），在规定的时间内上交，由教务科组织专业教师评定，凡评为合格以上者可获得相应的学分。</w:t>
      </w:r>
    </w:p>
    <w:p>
      <w:pPr>
        <w:spacing w:line="360" w:lineRule="auto"/>
        <w:ind w:firstLine="465" w:firstLineChars="194"/>
        <w:rPr>
          <w:rFonts w:ascii="宋体" w:hAnsi="宋体"/>
          <w:sz w:val="24"/>
        </w:rPr>
      </w:pPr>
      <w:r>
        <w:rPr>
          <w:rFonts w:hint="eastAsia" w:ascii="宋体" w:hAnsi="宋体"/>
          <w:sz w:val="24"/>
        </w:rPr>
        <w:t>4.学生军训实践</w:t>
      </w:r>
    </w:p>
    <w:p>
      <w:pPr>
        <w:spacing w:line="360" w:lineRule="auto"/>
        <w:ind w:firstLine="465" w:firstLineChars="194"/>
        <w:rPr>
          <w:rFonts w:ascii="宋体" w:hAnsi="宋体"/>
          <w:sz w:val="24"/>
        </w:rPr>
      </w:pPr>
      <w:r>
        <w:rPr>
          <w:rFonts w:hint="eastAsia" w:ascii="宋体" w:hAnsi="宋体"/>
          <w:sz w:val="24"/>
        </w:rPr>
        <w:t>凡参加军训并完成每天的训练科目的同学可取得规定的相应学分。</w:t>
      </w:r>
    </w:p>
    <w:p>
      <w:pPr>
        <w:spacing w:line="360" w:lineRule="auto"/>
        <w:ind w:firstLine="467" w:firstLineChars="194"/>
        <w:jc w:val="left"/>
        <w:rPr>
          <w:rFonts w:ascii="宋体" w:hAnsi="宋体"/>
          <w:b/>
          <w:sz w:val="24"/>
        </w:rPr>
      </w:pPr>
    </w:p>
    <w:p>
      <w:pPr>
        <w:spacing w:line="360" w:lineRule="auto"/>
        <w:jc w:val="left"/>
        <w:rPr>
          <w:rFonts w:ascii="宋体" w:hAnsi="宋体"/>
          <w:b/>
          <w:sz w:val="28"/>
          <w:szCs w:val="28"/>
        </w:rPr>
      </w:pPr>
      <w:r>
        <w:rPr>
          <w:rFonts w:hint="eastAsia" w:ascii="宋体" w:hAnsi="宋体"/>
          <w:b/>
          <w:sz w:val="28"/>
          <w:szCs w:val="28"/>
          <w:lang w:val="en-US" w:eastAsia="zh-CN"/>
        </w:rPr>
        <w:t>十</w:t>
      </w:r>
      <w:r>
        <w:rPr>
          <w:rFonts w:hint="eastAsia" w:ascii="宋体" w:hAnsi="宋体"/>
          <w:b/>
          <w:sz w:val="28"/>
          <w:szCs w:val="28"/>
        </w:rPr>
        <w:t>、毕业</w:t>
      </w:r>
    </w:p>
    <w:p>
      <w:pPr>
        <w:spacing w:line="360" w:lineRule="auto"/>
        <w:ind w:firstLine="465" w:firstLineChars="194"/>
        <w:rPr>
          <w:rFonts w:ascii="宋体" w:hAnsi="宋体"/>
          <w:sz w:val="24"/>
        </w:rPr>
      </w:pPr>
      <w:r>
        <w:rPr>
          <w:rFonts w:hint="eastAsia" w:ascii="宋体" w:hAnsi="宋体"/>
          <w:sz w:val="24"/>
        </w:rPr>
        <w:t>本专业学生修完计划全部课程，并经考核全部合格或修满175学分，方可获得毕业资格。</w:t>
      </w:r>
    </w:p>
    <w:sectPr>
      <w:type w:val="continuous"/>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8BF43"/>
    <w:multiLevelType w:val="singleLevel"/>
    <w:tmpl w:val="1758BF43"/>
    <w:lvl w:ilvl="0" w:tentative="0">
      <w:start w:val="5"/>
      <w:numFmt w:val="chineseCounting"/>
      <w:suff w:val="nothing"/>
      <w:lvlText w:val="%1、"/>
      <w:lvlJc w:val="left"/>
      <w:rPr>
        <w:rFonts w:hint="eastAsia"/>
      </w:rPr>
    </w:lvl>
  </w:abstractNum>
  <w:abstractNum w:abstractNumId="1">
    <w:nsid w:val="5B9FFCC3"/>
    <w:multiLevelType w:val="singleLevel"/>
    <w:tmpl w:val="5B9FFC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00862F43"/>
    <w:rsid w:val="000C2DBD"/>
    <w:rsid w:val="001155E9"/>
    <w:rsid w:val="0013069B"/>
    <w:rsid w:val="0014425B"/>
    <w:rsid w:val="001A77E1"/>
    <w:rsid w:val="001B4A01"/>
    <w:rsid w:val="001F5BCA"/>
    <w:rsid w:val="00215B65"/>
    <w:rsid w:val="002221F2"/>
    <w:rsid w:val="0023363D"/>
    <w:rsid w:val="00245B93"/>
    <w:rsid w:val="00261118"/>
    <w:rsid w:val="00270E31"/>
    <w:rsid w:val="002A0E39"/>
    <w:rsid w:val="002B511C"/>
    <w:rsid w:val="002E27C0"/>
    <w:rsid w:val="002F2799"/>
    <w:rsid w:val="00304452"/>
    <w:rsid w:val="00333489"/>
    <w:rsid w:val="00345D1E"/>
    <w:rsid w:val="003552DF"/>
    <w:rsid w:val="003773B3"/>
    <w:rsid w:val="0037770B"/>
    <w:rsid w:val="00385D85"/>
    <w:rsid w:val="003F19E4"/>
    <w:rsid w:val="00423EFE"/>
    <w:rsid w:val="00487EB4"/>
    <w:rsid w:val="00491867"/>
    <w:rsid w:val="004B6AAF"/>
    <w:rsid w:val="004C22DA"/>
    <w:rsid w:val="004D4610"/>
    <w:rsid w:val="00552A33"/>
    <w:rsid w:val="00563553"/>
    <w:rsid w:val="005804D0"/>
    <w:rsid w:val="00587909"/>
    <w:rsid w:val="005B1F4F"/>
    <w:rsid w:val="00611B53"/>
    <w:rsid w:val="006349D9"/>
    <w:rsid w:val="0064168C"/>
    <w:rsid w:val="0068208F"/>
    <w:rsid w:val="006A08EB"/>
    <w:rsid w:val="007504C6"/>
    <w:rsid w:val="00776ADC"/>
    <w:rsid w:val="007A1189"/>
    <w:rsid w:val="00803D30"/>
    <w:rsid w:val="0085749D"/>
    <w:rsid w:val="00862F43"/>
    <w:rsid w:val="00864353"/>
    <w:rsid w:val="008649E7"/>
    <w:rsid w:val="00890C9D"/>
    <w:rsid w:val="00976811"/>
    <w:rsid w:val="00A13A58"/>
    <w:rsid w:val="00A21DDE"/>
    <w:rsid w:val="00A813AA"/>
    <w:rsid w:val="00A95AE4"/>
    <w:rsid w:val="00A97C42"/>
    <w:rsid w:val="00AF53C1"/>
    <w:rsid w:val="00AF6B88"/>
    <w:rsid w:val="00B878DD"/>
    <w:rsid w:val="00C47F71"/>
    <w:rsid w:val="00C60403"/>
    <w:rsid w:val="00C67329"/>
    <w:rsid w:val="00C71CDF"/>
    <w:rsid w:val="00C728AF"/>
    <w:rsid w:val="00CA1FB5"/>
    <w:rsid w:val="00CB5201"/>
    <w:rsid w:val="00CD7225"/>
    <w:rsid w:val="00CE5999"/>
    <w:rsid w:val="00D10CC7"/>
    <w:rsid w:val="00D27A41"/>
    <w:rsid w:val="00D34C8A"/>
    <w:rsid w:val="00D5652A"/>
    <w:rsid w:val="00D83590"/>
    <w:rsid w:val="00DA141E"/>
    <w:rsid w:val="00DB448D"/>
    <w:rsid w:val="00DC527C"/>
    <w:rsid w:val="00DE4C9A"/>
    <w:rsid w:val="00F16871"/>
    <w:rsid w:val="00FA6123"/>
    <w:rsid w:val="00FC4D3D"/>
    <w:rsid w:val="00FE49BB"/>
    <w:rsid w:val="063A599B"/>
    <w:rsid w:val="0CCC0871"/>
    <w:rsid w:val="0CDB6FDB"/>
    <w:rsid w:val="0D7D5B64"/>
    <w:rsid w:val="112A4921"/>
    <w:rsid w:val="12CF6A8A"/>
    <w:rsid w:val="139F6FB4"/>
    <w:rsid w:val="18A52F24"/>
    <w:rsid w:val="1CAB5D44"/>
    <w:rsid w:val="1F3605D3"/>
    <w:rsid w:val="223369D9"/>
    <w:rsid w:val="25D83431"/>
    <w:rsid w:val="265B27AB"/>
    <w:rsid w:val="2EB0247A"/>
    <w:rsid w:val="33C1125E"/>
    <w:rsid w:val="3AB83579"/>
    <w:rsid w:val="3BAE72A7"/>
    <w:rsid w:val="3C1F0887"/>
    <w:rsid w:val="3C951B94"/>
    <w:rsid w:val="43315D5F"/>
    <w:rsid w:val="43865236"/>
    <w:rsid w:val="45E62843"/>
    <w:rsid w:val="51EF545C"/>
    <w:rsid w:val="529F274B"/>
    <w:rsid w:val="533B2CD9"/>
    <w:rsid w:val="55BF49EB"/>
    <w:rsid w:val="5FB3073E"/>
    <w:rsid w:val="607652AA"/>
    <w:rsid w:val="60D96071"/>
    <w:rsid w:val="6247230D"/>
    <w:rsid w:val="631E19F8"/>
    <w:rsid w:val="63CA7FE4"/>
    <w:rsid w:val="66A449DE"/>
    <w:rsid w:val="6A803ADA"/>
    <w:rsid w:val="70E61965"/>
    <w:rsid w:val="79B77EDA"/>
    <w:rsid w:val="7F9FB0DC"/>
    <w:rsid w:val="FDF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00" w:beforeLines="100" w:line="480" w:lineRule="auto"/>
      <w:outlineLvl w:val="0"/>
    </w:pPr>
    <w:rPr>
      <w:b/>
      <w:kern w:val="44"/>
      <w:sz w:val="28"/>
    </w:rPr>
  </w:style>
  <w:style w:type="paragraph" w:styleId="3">
    <w:name w:val="heading 2"/>
    <w:basedOn w:val="1"/>
    <w:next w:val="1"/>
    <w:unhideWhenUsed/>
    <w:qFormat/>
    <w:uiPriority w:val="9"/>
    <w:pPr>
      <w:keepNext/>
      <w:keepLines/>
      <w:outlineLvl w:val="1"/>
    </w:pPr>
    <w:rPr>
      <w:rFonts w:ascii="DejaVu Sans" w:hAnsi="DejaVu Sans"/>
      <w:b/>
      <w:sz w:val="28"/>
    </w:rPr>
  </w:style>
  <w:style w:type="paragraph" w:styleId="4">
    <w:name w:val="heading 3"/>
    <w:basedOn w:val="1"/>
    <w:next w:val="1"/>
    <w:unhideWhenUsed/>
    <w:qFormat/>
    <w:uiPriority w:val="9"/>
    <w:pPr>
      <w:keepNext/>
      <w:keepLines/>
      <w:outlineLvl w:val="2"/>
    </w:pPr>
    <w:rPr>
      <w:b/>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character" w:customStyle="1" w:styleId="12">
    <w:name w:val="页眉 字符"/>
    <w:basedOn w:val="9"/>
    <w:link w:val="6"/>
    <w:qFormat/>
    <w:uiPriority w:val="0"/>
    <w:rPr>
      <w:rFonts w:ascii="Times New Roman" w:hAnsi="Times New Roman" w:eastAsia="宋体" w:cs="Times New Roman"/>
      <w:sz w:val="18"/>
      <w:szCs w:val="18"/>
    </w:rPr>
  </w:style>
  <w:style w:type="character" w:customStyle="1" w:styleId="13">
    <w:name w:val="页脚 字符"/>
    <w:basedOn w:val="9"/>
    <w:link w:val="5"/>
    <w:qFormat/>
    <w:uiPriority w:val="0"/>
    <w:rPr>
      <w:rFonts w:ascii="Times New Roman" w:hAnsi="Times New Roman" w:eastAsia="宋体" w:cs="Times New Roman"/>
      <w:sz w:val="18"/>
      <w:szCs w:val="18"/>
    </w:rPr>
  </w:style>
  <w:style w:type="paragraph" w:customStyle="1" w:styleId="1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mznx</Company>
  <Pages>10</Pages>
  <Words>6483</Words>
  <Characters>6675</Characters>
  <Lines>62</Lines>
  <Paragraphs>17</Paragraphs>
  <TotalTime>47</TotalTime>
  <ScaleCrop>false</ScaleCrop>
  <LinksUpToDate>false</LinksUpToDate>
  <CharactersWithSpaces>6749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2012-11-27T16:32:00Z</dcterms:created>
  <dc:creator>jwk6</dc:creator>
  <cp:lastModifiedBy>张亮仪</cp:lastModifiedBy>
  <cp:lastPrinted>2020-09-27T16:42:00Z</cp:lastPrinted>
  <dcterms:modified xsi:type="dcterms:W3CDTF">2023-08-23T07:21:08Z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11DD78E1101A47D180E92FC863C8931F_13</vt:lpwstr>
  </property>
</Properties>
</file>